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center"/>
        <w:textAlignment w:val="baseline"/>
        <w:rPr>
          <w:rFonts w:hint="eastAsia" w:ascii="宋体" w:hAnsi="宋体" w:eastAsia="宋体" w:cs="宋体"/>
          <w:b/>
          <w:bCs/>
          <w:i w:val="0"/>
          <w:caps w:val="0"/>
          <w:color w:val="auto"/>
          <w:spacing w:val="0"/>
          <w:sz w:val="32"/>
          <w:szCs w:val="32"/>
        </w:rPr>
      </w:pPr>
      <w:r>
        <w:rPr>
          <w:rFonts w:hint="eastAsia" w:ascii="宋体" w:hAnsi="宋体" w:eastAsia="宋体" w:cs="宋体"/>
          <w:b/>
          <w:bCs/>
          <w:i w:val="0"/>
          <w:caps w:val="0"/>
          <w:color w:val="auto"/>
          <w:spacing w:val="0"/>
          <w:sz w:val="32"/>
          <w:szCs w:val="32"/>
          <w:shd w:val="clear" w:fill="FFFFFF"/>
          <w:vertAlign w:val="baseline"/>
        </w:rPr>
        <w:t>特种作业人员安全技术培训考核管理规定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（2010年5月24日国家安全监管总局令第30号公布，根据2013年8月29日国家安全监管总局令第63号第一次修正，根据2015年5月29日国家安全监管总局令第80号第二次修正）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center"/>
        <w:textAlignment w:val="baseline"/>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shd w:val="clear" w:fill="FFFFFF"/>
          <w:vertAlign w:val="baseline"/>
        </w:rPr>
        <w:t>第一章 总则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第一条 为了规范特种作业人员的安全技术培训考核工作，提高特种作业人员的安全技术水平，防止和减少伤亡事故，根据《安全生产法》、《行政许可法》等有关法律、行政法规，制定本规定。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第二条 生产经营单位特种作业人员的安全技术培训、考核、发证、复审及其监督管理工作，适用本规定。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有关法律、行政法规和国务院对有关特种作业人员管理另有规定的，从其规定。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第三条 本规定所称特种作业，是指容易发生事故，对操作者本人、他人的安全健康及设备、设施的安全可能造成重大危害的作业。特种作业的范围由特种作业目录规定。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本规定所称特种作业人员，是指直接从事特种作业的从业人员。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第四条 特种作业人员应当符合下列条件：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（一）年满18周岁，且不超过国家法定退休年龄；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（二）经社区或者县级以上医疗机构体检健康合格，并无妨碍从事相应特种作业的器质性心脏病、癫痫病、美尼尔氏症、眩晕症、癔病、震颤麻痹症、精神病、痴呆症以及其他疾病和生理缺陷；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（三）具有初中及以上文化程度；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（四）具备必要的安全技术知识与技能；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（五）相应特种作业规定的其他条件。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危险化学品特种作业人员除符合前款第一项、第二项、第四项和第五项规定的条件外，应当具备高中或者相当于高中及以上文化程度。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第五条</w:t>
      </w:r>
      <w:r>
        <w:rPr>
          <w:rFonts w:hint="eastAsia" w:ascii="宋体" w:hAnsi="宋体" w:eastAsia="宋体" w:cs="宋体"/>
          <w:b w:val="0"/>
          <w:i w:val="0"/>
          <w:caps w:val="0"/>
          <w:color w:val="auto"/>
          <w:spacing w:val="0"/>
          <w:sz w:val="24"/>
          <w:szCs w:val="24"/>
          <w:shd w:val="clear" w:fill="FFFFFF"/>
          <w:vertAlign w:val="baseline"/>
        </w:rPr>
        <w:t xml:space="preserve"> 特种作业人员必须经专门的安全技术培训并考核合格，取得《中华人民共和国特种作业操作证》（以下简称特种作业操作证）后，方可上岗作业。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第六条 特种作业人员的安全技术培训、考核、发证、复审工作实行统一监管、分级实施、教考分离的原则。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第七条 国家安全生产监督管理总局（以下简称安全监管总局）指导、监督全国特种作业人员的安全技术培训、考核、发证、复审工作；省、自治区、直辖市人民政府安全生产监督管理部门指导、监督本行政区域特种作业人员的安全技术培训工作，负责本行政区域特种作业人员的考核、发证、复审工作；县级以上地方人民政府安全生产监督管理部门负责监督检查本行政区域特种作业人员的安全技术培训和持证上岗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国家煤矿安全监察局（以下简称煤矿安监局）指导、监督全国煤矿特种作业人员（含煤矿矿井使用的特种设备作业人员）的安全技术培训、考核、发证、复审工作；省、自治区、直辖市人民政府负责煤矿特种作业人员考核发证工作的部门或者指定的机构指导、监督本行政区域煤矿特种作业人员的安全技术培训工作，负责本行政区域煤矿特种作业人员的考核、发证、复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省、自治区、直辖市人民政府安全生产监督管理部门和负责煤矿特种作业人员考核发证工作的部门或者指定的机构（以下统称考核发证机关）可以委托设区的市人民政府安全生产监督管理部门和负责煤矿特种作业人员考核发证工作的部门或者指定的机构实施特种作业人员的考核、发证、复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第八条 对特种作业人员安全技术培训、考核、发证、复审工作中的违法行为，任何单位和个人均有权向安全监管总局、煤矿安监局和省、自治区、直辖市及设区的市人民政府安全生产监督管理部门、负责煤矿特种作业人员考核发证工作的部门或者指定的机构举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center"/>
        <w:textAlignment w:val="baseline"/>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shd w:val="clear" w:fill="FFFFFF"/>
          <w:vertAlign w:val="baseline"/>
        </w:rPr>
        <w:t>第二章 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第九条 特种作业人员应当接受与其所从事的特种作业相应的安全技术理论培训和实际操作培训。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已经取得职业高中、技工学校及中专以上学历的毕业生从事与其所学专业相应的特种作业，持学历证明经考核发证机关同意，可以免予相关专业的培训。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跨省、自治区、直辖市从业的特种作业人员，可以在户籍所在地或者从业所在地参加培训。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第十条 对特种作业人员的安全技术培训，具备安全培训条件的生产经营单位应当以自主培训为主，也可以委托具备安全培训条件的机构进行培训。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不具备安全培训条件的生产经营单位，应当委托具备安全培训条件的机构进行培训。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生产经营单位委托其他机构进行特种作业人员安全技术培训的，保证安全技术培训的责任仍由本单位负责。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第十一条 从事特种作业人员安全技术培训的机构（以下统称培训机构），应当制定相应的培训计划、教学安排，并按照安全监管总局、煤矿安监局制定的特种作业人员培训大纲和煤矿特种作业人员培训大纲进行特种作业人员的安全技术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center"/>
        <w:textAlignment w:val="baseline"/>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shd w:val="clear" w:fill="FFFFFF"/>
          <w:vertAlign w:val="baseline"/>
        </w:rPr>
        <w:t>第三章 考核发证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第十二条 特种作业人员的考核包括考试和审核两部分。考试由考核发证机关或其委托的单位负责；审核由考核发证机关负责。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安全监管总局、煤矿安监局分别制定特种作业人员、煤矿特种作业人员的考核标准，并建立相应的考试题库。</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考核发证机关或其委托的单位应当按照安全监管总局、煤矿安监局统一制定的考核标准进行考核。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第十三条 参加特种作业操作资格考试的人员，应当填写考试申请表，由申请人或者申请人的用人单位持学历证明或者培训机构出具的培训证明向申请人户籍所在地或者从业所在地的考核发证机关或其委托的单位提出申请。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考核发证机关或其委托的单位收到申请后，应当在60日内组织考试。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特种作业操作资格考试包括安全技术理论考试和实际操作考试两部分。考试不及格的，允许补考1次。经补考仍不及格的，重新参加相应的安全技术培训。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第十四条 考核发证机关委托承担特种作业操作资格考试的单位应当具备相应的场所、设施、设备等条件，建立相应的管理制度，并公布收费标准等信息。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第十五条 考核发证机关或其委托承担特种作业操作资格考试的单位，应当在考试结束后10个工作日内公布考试成绩。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第十六条 符合本规定第四条规定并经考试合格的特种作业人员，应当向其户籍所在地或者从业所在地的考核发证机关申请办理特种作业操作证，并提交身份证复印件、学历证书复印件、体检证明、考试合格证明等材料。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第十七条 收到申请的考核发证机关应当在5个工作日内完成对特种作业人员所提交申请材料的审查，作出受理或者不予受理的决定。能够当场作出受理决定的，应当当场作出受理决定；申请材料不齐全或者不符合要求的，应当当场或者在5个工作日内一次告知申请人需要补正的全部内容，逾期不告知的，视为自收到申请材料之日起即已被受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第十八条 对已经受理的申请，考核发证机关应当在20个工作日内完成审核工作。符合条件的，颁发特种作业操作证；不符合条件的，应当说明理由。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第十九条 特种作业操作证有效期为6年，在全国范围内有效。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特种作业操作证由安全监管总局统一式样、标准及编号。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第二十条 特种作业操作证遗失的，应当向原考核发证机关提出书面申请，经原考核发证机关审查同意后，予以补发。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特种作业操作证所记载的信息发生变化或者损毁的，应当向原考核发证机关提出书面申请，经原考核发证机关审查确认后，予以更换或者更新。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center"/>
        <w:textAlignment w:val="baseline"/>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shd w:val="clear" w:fill="FFFFFF"/>
          <w:vertAlign w:val="baseline"/>
        </w:rPr>
        <w:t>第四章 复审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第二十一条 特种作业操作证每3年复审1次。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特种作业人员在特种作业操作证有效期内，连续从事本工种10年以上，严格遵守有关安全生产法律法规的，经原考核发证机关或者从业所在地考核发证机关同意，特种作业操作证的复审时间可以延长至每6年1次。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第二十二条 特种作业操作证需要复审的，应当在期满前60日内，由申请人或者申请人的用人单位向原考核发证机关或者从业所在地考核发证机关提出申请，并提交下列材料：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（一）社区或者县级以上医疗机构出具的健康证明；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（二）从事特种作业的情况；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（三）安全培训考试合格记录。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特种作业操作证有效期届满需要延期换证的，应当按照前款的规定申请延期复审。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第二十三条 特种作业操作证申请复审或者延期复审前，特种作业人员应当参加必要的安全培训并考试合格。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安全培训时间不少于8个学时，主要培训法律、法规、标准、事故案例和有关新工艺、新技术、新装备等知识。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第二十四条 申请复审的，考核发证机关应当在收到申请之日起20个工作日内完成复审工作。复审合格的，由考核发证机关签章、登记，予以确认；不合格的，说明理由。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申请延期复审的，经复审合格后，由考核发证机关重新颁发特种作业操作证。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第二十五条 特种作业人员有下列情形之一的，复审或者延期复审不予通过：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（一）健康体检不合格的；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（二）违章操作造成严重后果或者有2次以上违章行为，并经查证确实的；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（三）有安全生产违法行为，并给予行政处罚的；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（四）拒绝、阻碍安全生产监管监察部门监督检查的；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（五）未按规定参加安全培训，或者考试不合格的；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（六）具有本规定第三十条、第三十一条规定情形的。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第二十六条 特种作业操作证复审或者延期复审符合本规定第二十五条第二项、第三项、第四项、第五项情形的，按照本规定经重新安全培训考试合格后，再办理复审或者延期复审手续。</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再复审、延期复审仍不合格，或者未按期复审的，特种作业操作证失效。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第二十七条 申请人对复审或者延期复审有异议的，可以依法申请行政复议或者提起行政诉讼。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center"/>
        <w:textAlignment w:val="baseline"/>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shd w:val="clear" w:fill="FFFFFF"/>
          <w:vertAlign w:val="baseline"/>
        </w:rPr>
        <w:t>第五章 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第二十八条 考核发证机关或其委托的单位及其工作人员应当忠于职守、坚持原则、廉洁自律，按照法律、法规、规章的规定进行特种作业人员的考核、发证、复审工作，接受社会的监督。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第二十九条 考核发证机关应当加强对特种作业人员的监督检查，发现其具有本规定第三十条规定情形的，及时撤销特种作业操作证；对依法应当给予行政处罚的安全生产违法行为，按照有关规定依法对生产经营单位及其特种作业人员实施行政处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考核发证机关应当建立特种作业人员管理信息系统，方便用人单位和社会公众查询；对于注销特种作业操作证的特种作业人员，应当及时向社会公告。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第三十条 有下列情形之一的，考核发证机关应当撤销特种作业操作证：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（一）超过特种作业操作证有效期未延期复审的；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（二）特种作业人员的身体条件已不适合继续从事特种作业的；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（三）对发生生产安全事故负有责任的；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（四）特种作业操作证记载虚假信息的；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（五）以欺骗、贿赂等不正当手段取得特种作业操作证的。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特种作业人员违反前款第四项、第五项规定的，3年内不得再次申请特种作业操作证。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第三十一条 有下列情形之一的，考核发证机关应当注销特种作业操作证：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（一）特种作业人员死亡的；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（二）特种作业人员提出注销申请的；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（三）特种作业操作证被依法撤销的。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第三十二条 离开特种作业岗位6个月以上的特种作业人员，应当重新进行实际操作考试，经确认合格后方可上岗作业。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第三十三条 省、自治区、直辖市人民政府安全生产监督管理部门和负责煤矿特种作业人员考核发证工作的部门或者指定的机构应当每年分别向安全监管总局、煤矿安监局报告特种作业人员的考核发证情况。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第三十四条 生产经营单位应当加强对本单位特种作业人员的管理，建立健全特种作业人员培训、复审档案，做好申报、培训、考核、复审的组织工作和日常的检查工作。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第三十五条 特种作业人员在劳动合同期满后变动工作单位的，原工作单位不得以任何理由扣押其特种作业操作证。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跨省、自治区、直辖市从业的特种作业人员应当接受从业所在地考核发证机关的监督管理。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第三十六条 生产经营单位不得印制、伪造、倒卖特种作业操作证，或者使用非法印制、伪造、倒卖的特种作业操作证。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特种作业人员不得伪造、涂改、转借、转让、冒用特种作业操作证或者使用伪造的特种作业操作证。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center"/>
        <w:textAlignment w:val="baseline"/>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shd w:val="clear" w:fill="FFFFFF"/>
          <w:vertAlign w:val="baseline"/>
        </w:rPr>
        <w:t>第六章 罚则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第三十七条 考核发证机关或其委托的单位及其工作人员在特种作业人员考核、发证和复审工作中滥用职权、玩忽职守、徇私舞弊的，依法给予行政处分；构成犯罪的，依法追究刑事责任。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第三十八条 生产经营单位未建立健全特种作业人员档案的，给予警告，并处1万元以下的罚款。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第三十九条 生产经营单位使用未取得特种作业操作证的特种作业人员上岗作业的，责令限期改正,可以处5万元以下的罚款；逾期未改正的，责令停产停业整顿，并处5万元以上10万元以下的罚款，对直接负责的主管人员和其他直接责任人员处1万元以上2万元以下的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煤矿企业使用未取得特种作业操作证的特种作业人员上岗作业的，依照《国务院关于预防煤矿生产安全事故的特别规定》的规定处罚。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第四十条 生产经营单位非法印制、伪造、倒卖特种作业操作证，或者使用非法印制、伪造、倒卖的特种作业操作证的，给予警告，并处1万元以上3万元以下的罚款；构成犯罪的，依法追究刑事责任。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第四十一条 特种作业人员伪造、涂改特种作业操作证或者使用伪造的特种作业操作证的，给予警告，并处1000元以上5000元以下的罚款。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特种作业人员转借、转让、冒用特种作业操作证的，给予警告，并处2000元以上1万元以下的罚款。</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center"/>
        <w:textAlignment w:val="baseline"/>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shd w:val="clear" w:fill="FFFFFF"/>
          <w:vertAlign w:val="baseline"/>
        </w:rPr>
        <w:t>第七章 附则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第四十二条 特种作业人员培训、考试的收费标准，由省、自治区、直辖市人民政府安全生产监督管理部门会同负责煤矿特种作业人员考核发证工作的部门或者指定的机构统一制定，报同级人民政府物价、财政部门批准后执行，证书工本费由考核发证机关列入同级财政预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第四十三条 省、自治区、直辖市人民政府安全生产监督管理部门和负责煤矿特种作业人员考核发证工作的部门或者指定的机构可以结合本地区实际，制定实施细则，报安全监管总局、煤矿安监局备案。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第四十四条 本规定自2010年7月1日起施行。1999年7月12日原国家经贸委发布的《特种作业人员安全技术培训考核管理办法》（原国家经贸委令第13号）同时废止。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jc w:val="left"/>
        <w:textAlignment w:val="baseline"/>
        <w:rPr>
          <w:rFonts w:hint="eastAsia" w:ascii="宋体" w:hAnsi="宋体" w:eastAsia="宋体" w:cs="宋体"/>
          <w:b/>
          <w:bCs/>
          <w:i w:val="0"/>
          <w:caps w:val="0"/>
          <w:color w:val="auto"/>
          <w:spacing w:val="0"/>
          <w:sz w:val="24"/>
          <w:szCs w:val="24"/>
        </w:rPr>
      </w:pPr>
      <w:r>
        <w:rPr>
          <w:rFonts w:hint="eastAsia" w:ascii="宋体" w:hAnsi="宋体" w:eastAsia="宋体" w:cs="宋体"/>
          <w:b/>
          <w:bCs/>
          <w:i w:val="0"/>
          <w:caps w:val="0"/>
          <w:color w:val="auto"/>
          <w:spacing w:val="0"/>
          <w:sz w:val="24"/>
          <w:szCs w:val="24"/>
          <w:shd w:val="clear" w:fill="FFFFFF"/>
          <w:vertAlign w:val="baseline"/>
        </w:rPr>
        <w:t>附件：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特种作业目录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1电工作业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指对电气设备进行运行、维护、安装、检修、改造、施工、调试等作业（不含电力系统进网作业）。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1.1高压电工作业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指对1千伏（kV）及以上的高压电气设备进行运行、维护、安装、检修、改造、施工、调试、试验及绝缘工、器具进行试验的作业。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1.2低压电工作业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指对1千伏（kV）以下的低压电器设备进行安装、调试、运行操作、维护、检修、改造施工和试验的作业。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1.3防爆电气作业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指对各种防爆电气设备进行安装、检修、维护的作业。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适用于除煤矿井下以外的防爆电气作业。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2焊接与热切割作业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指运用焊接或者热切割方法对材料进行加工的作业（不含《特种设备安全监察条例》规定的有关作业）。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2.1熔化焊接与热切割作业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指使用局部加热的方法将连接处的金属或其他材料加热至熔化状态而完成焊接与切割的作业。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适用于气焊与气割、焊条电弧焊与碳弧气刨、埋弧焊、气体保护焊、等离子弧焊、电渣焊、电子束焊、激光焊、氧熔剂切割、激光切割、等离子切割等作业。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2.2压力焊作业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指利用焊接时施加一定压力而完成的焊接作业。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适用于电阻焊、气压焊、爆炸焊、摩擦焊、冷压焊、超声波焊、锻焊等作业。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2.3钎焊作业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指使用比母材熔点低的材料作钎料，将焊件和钎料加热到高于钎料熔点，但低于母材熔点的温度，利用液态钎料润湿母材，填充接头间隙并与母材相互扩散而实现连接焊件的作业。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适用于火焰钎焊作业、电阻钎焊作业、感应钎焊作业、浸渍钎焊作业、炉中钎焊作业，不包括烙铁钎焊作业。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3高处作业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指专门或经常在坠落高度基准面2米及以上有可能坠落的高处进行的作业。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3.1登高架设作业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指在高处从事脚手架、跨越架架设或拆除的作业。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3.2高处安装、维护、拆除作业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指在高处从事安装、维护、拆除的作业。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利用专用设备进行建筑物内外装饰、清洁、装修，电力、电信等线路架设，高处管道架设，小型空调高处安装、维修，各种设备设施与户外广告设施的安装、检修、维护以及在高处从事建筑物、设备设施拆除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4制冷与空调作业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指对大中型制冷与空调设备运行操作、安装与修理的作业。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4.1制冷与空调设备运行操作作业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指对各类生产经营企业和事业等单位的大中型制冷与空调设备运行操作的作业。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化工类(石化、化工、天然气液化、工艺性空调)生产企业，机械类(冷加工、冷处理、工艺性空调)生产企业，食品类(酿造、饮料、速冻或冷冻调理食品、工艺性空调)生产企业，农副产品加工类(屠宰及肉食品加工、水产加工、果蔬加工)生产企业，仓储类(冷库、速冻加工、制冰)生产经营企业，运输类(冷藏运输)经营企业，服务类(电信机房、体育场馆、建筑的集中空调)经营企业和事业等单位的大中型制冷与空调设备运行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4.2制冷与空调设备安装修理作业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指对4.1所指制冷与空调设备整机、部件及相关系统进行安装、调试与维修的作业。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5煤矿安全作业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5.1煤矿井下电气作业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指从事煤矿井下机电设备的安装、调试、巡检、维修和故障处理，保证本班机电设备安全运行的作业。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适用于与煤共生、伴生的坑探、矿井建设、开采过程中的井下电钳等作业。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5.2煤矿井下爆破作业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指在煤矿井下进行爆破的作业。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5.3煤矿安全监测监控作业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指从事煤矿井下安全监测监控系统的安装、调试、巡检、维修，保证其安全运行的作业。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适用于与煤共生、伴生的坑探、矿井建设、开采过程中的安全监测监控作业。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5.4煤矿瓦斯检查作业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指从事煤矿井下瓦斯巡检工作，负责管辖范围内通风设施的完好及通风、瓦斯情况检查，按规定填写各种记录，及时处理或汇报发现的问题的作业。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适用于与煤共生、伴生的矿井建设、开采过程中的煤矿井下瓦斯检查作业。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5.5煤矿安全检查作业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指从事煤矿安全监督检查，巡检生产作业场所的安全设施和安全生产状况，检查并督促处理相应事故隐患的作业。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5.6煤矿提升机操作作业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指操作煤矿的提升设备运送人员、矿石、矸石和物料，并负责巡检和运行记录的作业。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适用于操作煤矿提升机，包括立井、暗立井提升机，斜井、暗斜井提升机以及露天矿山斜坡卷扬提升的提升机作业。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5.7煤矿采煤机（掘进机）操作作业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指在采煤工作面、掘进工作面操作采煤机、掘进机，从事落煤、装煤、掘进工作，负责采煤机、掘进机巡检和运行记录，保证采煤机、掘进机安全运行的作业。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适用于煤矿开采、掘进过程中的采煤机、掘进机作业。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5.8煤矿瓦斯抽采作业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指从事煤矿井下瓦斯抽采钻孔施工、封孔、瓦斯流量测定及瓦斯抽采设备操作等，保证瓦斯抽采工作安全进行的作业。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适用于煤矿、与煤共生和伴生的矿井建设、开采过程中的煤矿地面和井下瓦斯抽采作业。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5.9煤矿防突作业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指从事煤与瓦斯突出的预测预报、相关参数的收集与分析、防治突出措施的实施与检查、防突效果检验等，保证防突工作安全进行的作业。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适用于煤矿、与煤共生和伴生的矿井建设、开采过程中的煤矿井下煤与瓦斯防突作业。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5.10煤矿探放水作业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指从事煤矿探放水的预测预报、相关参数的收集与分析、探放水措施的实施与检查、效果检验等，保证探放水工作安全进行的作业。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适用于煤矿、与煤共生和伴生的矿井建设、开采过程中的煤矿井下探放水作业。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6金属非金属矿山安全作业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6.1金属非金属矿井通风作业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指安装井下局部通风机，操作地面主要扇风机、井下局部通风机和辅助通风机，操作、维护矿井通风构筑物，进行井下防尘，使矿井通风系统正常运行，保证局部通风，以预防中毒窒息和除尘等的作业。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6.2尾矿作业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指从事尾矿库放矿、筑坝、巡坝、抽洪和排渗设施的作业。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适用于金属非金属矿山的尾矿作业。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6.3金属非金属矿山安全检查作业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指从事金属非金属矿山安全监督检查，巡检生产作业场所的安全设施和安全生产状况，检查并督促处理相应事故隐患的作业。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6.4金属非金属矿山提升机操作作业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指操作金属非金属矿山的提升设备运送人员、矿石、矸石和物料，及负责巡检和运行记录的作业。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适用于金属非金属矿山的提升机，包括竖井、盲竖井提升机，斜井、盲斜井提升机以及露天矿山斜坡卷扬提升的提升机作业。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6.5金属非金属矿山支柱作业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指在井下检查井巷和采场顶、帮的稳定性，撬浮石，进行支护的作业。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6.6金属非金属矿山井下电气作业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指从事金属非金属矿山井下机电设备的安装、调试、巡检、维修和故障处理，保证机电设备安全运行的作业。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6.7金属非金属矿山排水作业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指从事金属非金属矿山排水设备日常使用、维护、巡检的作业。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6.8金属非金属矿山爆破作业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指在露天和井下进行爆破的作业。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7石油天然气安全作业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7.1司钻作业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指石油、天然气开采过程中操作钻机起升钻具的作业。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适用于陆上石油、天然气司钻（含钻井司钻、作业司钻及勘探司钻）作业。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8冶金（有色）生产安全作业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8.1煤气作业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指冶金、有色企业内从事煤气生产、储存、输送、使用、维护检修的作业。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9危险化学品安全作业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指从事危险化工工艺过程操作及化工自动化控制仪表安装、维修、维护的作业。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9.1光气及光气化工艺作业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指光气合成以及厂内光气储存、输送和使用岗位的作业。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适用于一氧化碳与氯气反应得到光气，光气合成双光气、三光气，采用光气作单体合成聚碳酸酯，甲苯二异氰酸酯（TDI）制备，4,4'-二苯基甲烷二异氰酸酯（MDI）制备等工艺过程的操作作业。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9.2氯碱电解工艺作业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指氯化钠和氯化钾电解、液氯储存和充装岗位的作业。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适用于氯化钠（食盐）水溶液电解生产氯气、氢氧化钠、氢气，氯化钾水溶液电解生产氯气、氢氧化钾、氢气等工艺过程的操作作业。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9.3氯化工艺作业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指液氯储存、气化和氯化反应岗位的作业。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适用于取代氯化，加成氯化，氧氯化等工艺过程的操作作业。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9.4硝化工艺作业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指硝化反应、精馏分离岗位的作业。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适用于直接硝化法，间接硝化法，亚硝化法等工艺过程的操作作业。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9.5合成氨工艺作业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指压缩、氨合成反应、液氨储存岗位的作业。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节能氨五工艺法（AMV），德士古水煤浆加压气化法、凯洛格法，甲醇与合成氨联合生产的联醇法，纯碱与合成氨联合生产的联碱法，采用变换催化剂、氧化锌脱硫剂和甲烷催化剂的“三催化”气体净化法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9.6裂解（裂化）工艺作业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指石油系的烃类原料裂解（裂化）岗位的作业。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热裂解制烯烃工艺，重油催化裂化制汽油、柴油、丙烯、丁烯，乙苯裂解制苯乙烯，二氟一氯甲烷（HCFC-22）热裂解制得四氟乙烯（TFE），二氟一氯乙烷（HCFC-142b）热裂解制得偏氟乙烯（VDF），四氟乙烯和八氟环丁烷热裂解制得六氟乙烯（HFP）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9.7氟化工艺作业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指氟化反应岗位的作业。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适用于直接氟化，金属氟化物或氟化氢气体氟化，置换氟化以及其他氟化物的制备等工艺过程的操作作业。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9.8加氢工艺作业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指加氢反应岗位的作业。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适用于不饱和炔烃、烯烃的三键和双键加氢，芳烃加氢，含氧化合物加氢，含氮化合物加氢以及油品加氢等工艺过程的操作作业。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9.9重氮化工艺作业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指重氮化反应、重氮盐后处理岗位的作业。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适用于顺法、反加法、亚硝酰硫酸法、硫酸铜触媒法以及盐析法等工艺过程的操作作业。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9.10氧化工艺作业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指氧化反应岗位的作业。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乙烯氧化制环氧乙烷，甲醇氧化制备甲醛，对二甲苯氧化制备对苯二甲酸，异丙苯经氧化-酸解联产苯酚和丙酮，环己烷氧化制环己酮，天然气氧化制乙炔，丁烯、丁烷、C4馏分或苯的氧化制顺丁烯二酸酐，邻二甲苯或萘的氧化制备邻苯二甲酸酐，均四甲苯的氧化制备均苯四甲酸二酐，苊的氧化制1,8-萘二甲酸酐，3-甲基吡啶氧化制3-吡啶甲酸（烟酸），4-甲基吡啶氧化制4-吡啶甲酸（异烟酸），2-乙基已醇（异辛醇）氧化制备2-乙基己酸（异辛酸），对氯甲苯氧化制备对氯苯甲醛和对氯苯甲酸，甲苯氧化制备苯甲醛、苯甲酸，对硝基甲苯氧化制备对硝基苯甲酸，环十二醇/酮混合物的开环氧化制备十二碳二酸，环己酮/醇混合物的氧化制己二酸，乙二醛硝酸氧化法合成乙醛酸，以及丁醛氧化制丁酸以及氨氧化制硝酸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9.11过氧化工艺作业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指过氧化反应、过氧化物储存岗位的作业。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双氧水的生产，乙酸在硫酸存在下与双氧水作用制备过氧乙酸水溶液，酸酐与双氧水作用直接制备过氧二酸，苯甲酰氯与双氧水的碱性溶液作用制备过氧化苯甲酰，以及异丙苯经空气氧化生产过氧化氢异丙苯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9.12胺基化工艺作业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指胺基化反应岗位的作业。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邻硝基氯苯与氨水反应制备邻硝基苯胺，对硝基氯苯与氨水反应制备对硝基苯胺，间甲酚与氯化铵的混合物在催化剂和氨水作用下生成间甲苯胺，甲醇在催化剂和氨气作用下制备甲胺，1-硝基蒽醌与过量的氨水在氯苯中制备1-氨基蒽醌，2,6-蒽醌二磺酸氨解制备2,6-二氨基蒽醌，苯乙烯与胺反应制备N-取代苯乙胺，环氧乙烷或亚乙基亚胺与胺或氨发生开环加成反应制备氨基乙醇或二胺，甲苯经氨氧化制备苯甲腈，以及丙烯氨氧化制备丙烯腈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9.13磺化工艺作业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指磺化反应岗位的作业。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适用于三氧化硫磺化法，共沸去水磺化法，氯磺酸磺化法，烘焙磺化法，以及亚硫酸盐磺化法等工艺过程的操作作业。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9.14聚合工艺作业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指聚合反应岗位的作业。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适用于聚烯烃、聚氯乙烯、合成纤维、橡胶、乳液、涂料粘合剂生产以及氟化物聚合等工艺过程的操作作业。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9.15烷基化工艺作业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指烷基化反应岗位的作业。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适用于C-烷基化反应，N-烷基化反应，O-烷基化反应等工艺过程的操作作业。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9.16化工自动化控制仪表作业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指化工自动化控制仪表系统安装、维修、维护的作业。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10烟花爆竹安全作业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指从事烟花爆竹生产、储存中的药物混合、造粒、筛选、装药、筑药、压药、搬运等危险工序的作业。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10.1烟火药制造作业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指从事烟火药的粉碎、配药、混合、造粒、筛选、干燥、包装等作业。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10.2黑火药制造作业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指从事黑火药的潮药、浆硝、包片、碎片、油压、抛光和包浆等作业。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10.3引火线制造作业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指从事引火线的制引、浆引、漆引、切引等作业。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10.4烟花爆竹产品涉药作业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指从事烟花爆竹产品加工中的压药、装药、筑药、褙药剂、已装药的钻孔等作业。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10.5烟花爆竹储存作业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指从事烟花爆竹仓库保管、守护、搬运等作业。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baseline"/>
        <w:rPr>
          <w:rFonts w:hint="eastAsia" w:ascii="宋体" w:hAnsi="宋体" w:eastAsia="宋体" w:cs="宋体"/>
          <w:b w:val="0"/>
          <w:i w:val="0"/>
          <w:caps w:val="0"/>
          <w:color w:val="auto"/>
          <w:spacing w:val="0"/>
          <w:sz w:val="24"/>
          <w:szCs w:val="24"/>
        </w:rPr>
      </w:pPr>
      <w:r>
        <w:rPr>
          <w:rFonts w:hint="eastAsia" w:ascii="宋体" w:hAnsi="宋体" w:eastAsia="宋体" w:cs="宋体"/>
          <w:b w:val="0"/>
          <w:i w:val="0"/>
          <w:caps w:val="0"/>
          <w:color w:val="auto"/>
          <w:spacing w:val="0"/>
          <w:sz w:val="24"/>
          <w:szCs w:val="24"/>
          <w:shd w:val="clear" w:fill="FFFFFF"/>
          <w:vertAlign w:val="baseline"/>
        </w:rPr>
        <w:t>11安全监管总局认定的其他作业</w:t>
      </w:r>
    </w:p>
    <w:p>
      <w:pPr>
        <w:keepNext w:val="0"/>
        <w:keepLines w:val="0"/>
        <w:pageBreakBefore w:val="0"/>
        <w:shd w:val="clear"/>
        <w:kinsoku/>
        <w:wordWrap/>
        <w:overflowPunct/>
        <w:topLinePunct w:val="0"/>
        <w:autoSpaceDE/>
        <w:autoSpaceDN/>
        <w:bidi w:val="0"/>
        <w:adjustRightInd w:val="0"/>
        <w:snapToGrid w:val="0"/>
        <w:spacing w:line="360" w:lineRule="auto"/>
        <w:rPr>
          <w:rFonts w:hint="eastAsia" w:ascii="宋体" w:hAnsi="宋体" w:eastAsia="宋体" w:cs="宋体"/>
          <w:color w:val="auto"/>
        </w:rPr>
      </w:pPr>
      <w:bookmarkStart w:id="0" w:name="_GoBack"/>
      <w:bookmarkEnd w:id="0"/>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F25145"/>
    <w:rsid w:val="064609D6"/>
    <w:rsid w:val="1D4F1500"/>
    <w:rsid w:val="288D7025"/>
    <w:rsid w:val="29EC5CE5"/>
    <w:rsid w:val="5240752F"/>
    <w:rsid w:val="562338C3"/>
    <w:rsid w:val="5AF25145"/>
    <w:rsid w:val="62C62189"/>
    <w:rsid w:val="6B571D8C"/>
    <w:rsid w:val="7B7F1D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0"/>
    <w:qFormat/>
    <w:uiPriority w:val="0"/>
    <w:pPr>
      <w:keepNext/>
      <w:keepLines/>
      <w:adjustRightInd w:val="0"/>
      <w:snapToGrid w:val="0"/>
      <w:spacing w:line="480" w:lineRule="exact"/>
      <w:outlineLvl w:val="0"/>
    </w:pPr>
    <w:rPr>
      <w:rFonts w:ascii="Times New Roman" w:hAnsi="Times New Roman" w:eastAsia="仿宋"/>
      <w:b/>
      <w:bCs/>
      <w:kern w:val="44"/>
      <w:sz w:val="28"/>
      <w:szCs w:val="44"/>
    </w:rPr>
  </w:style>
  <w:style w:type="paragraph" w:styleId="3">
    <w:name w:val="heading 2"/>
    <w:basedOn w:val="1"/>
    <w:next w:val="1"/>
    <w:link w:val="8"/>
    <w:semiHidden/>
    <w:unhideWhenUsed/>
    <w:qFormat/>
    <w:uiPriority w:val="0"/>
    <w:pPr>
      <w:keepNext/>
      <w:keepLines/>
      <w:adjustRightInd w:val="0"/>
      <w:snapToGrid w:val="0"/>
      <w:spacing w:line="480" w:lineRule="exact"/>
      <w:jc w:val="both"/>
      <w:outlineLvl w:val="1"/>
    </w:pPr>
    <w:rPr>
      <w:rFonts w:ascii="Times New Roman" w:hAnsi="Times New Roman" w:eastAsia="仿宋"/>
      <w:b/>
      <w:bCs/>
      <w:kern w:val="0"/>
      <w:sz w:val="28"/>
      <w:szCs w:val="32"/>
    </w:rPr>
  </w:style>
  <w:style w:type="paragraph" w:styleId="4">
    <w:name w:val="heading 3"/>
    <w:basedOn w:val="1"/>
    <w:next w:val="1"/>
    <w:link w:val="9"/>
    <w:semiHidden/>
    <w:unhideWhenUsed/>
    <w:qFormat/>
    <w:uiPriority w:val="0"/>
    <w:pPr>
      <w:keepNext/>
      <w:keepLines/>
      <w:adjustRightInd w:val="0"/>
      <w:snapToGrid w:val="0"/>
      <w:spacing w:line="480" w:lineRule="exact"/>
      <w:outlineLvl w:val="2"/>
    </w:pPr>
    <w:rPr>
      <w:rFonts w:ascii="Times New Roman" w:hAnsi="Times New Roman" w:eastAsia="仿宋"/>
      <w:b/>
      <w:bCs/>
      <w:kern w:val="0"/>
      <w:sz w:val="28"/>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8">
    <w:name w:val="标题 2 Char"/>
    <w:link w:val="3"/>
    <w:uiPriority w:val="9"/>
    <w:rPr>
      <w:rFonts w:ascii="Times New Roman" w:hAnsi="Times New Roman" w:eastAsia="仿宋" w:cs="Times New Roman"/>
      <w:b/>
      <w:bCs/>
      <w:sz w:val="28"/>
      <w:szCs w:val="32"/>
    </w:rPr>
  </w:style>
  <w:style w:type="character" w:customStyle="1" w:styleId="9">
    <w:name w:val="标题 3 Char"/>
    <w:link w:val="4"/>
    <w:uiPriority w:val="0"/>
    <w:rPr>
      <w:rFonts w:ascii="Times New Roman" w:hAnsi="Times New Roman" w:eastAsia="仿宋" w:cs="Times New Roman"/>
      <w:b/>
      <w:bCs/>
      <w:sz w:val="28"/>
      <w:szCs w:val="32"/>
    </w:rPr>
  </w:style>
  <w:style w:type="character" w:customStyle="1" w:styleId="10">
    <w:name w:val="标题 1 Char"/>
    <w:link w:val="2"/>
    <w:qFormat/>
    <w:uiPriority w:val="9"/>
    <w:rPr>
      <w:rFonts w:ascii="Times New Roman" w:hAnsi="Times New Roman" w:eastAsia="仿宋" w:cs="Times New Roman"/>
      <w:b/>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2019-05-20T08:21:00Z</dcterms:created>
  <dc:creator>贝贝</dc:creator>
  <cp:lastModifiedBy>Administrator</cp:lastModifiedBy>
  <dcterms:modified xsi:type="dcterms:W3CDTF">2020-06-08T08:11:56Z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