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723" w:firstLineChars="200"/>
        <w:jc w:val="center"/>
        <w:rPr>
          <w:rFonts w:hint="eastAsia" w:ascii="宋体" w:hAnsi="宋体" w:eastAsia="宋体"/>
          <w:b/>
          <w:color w:val="000000"/>
          <w:sz w:val="36"/>
          <w:szCs w:val="36"/>
          <w:lang w:eastAsia="zh-CN"/>
        </w:rPr>
      </w:pP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青岛泓峰石材有限公司</w:t>
      </w:r>
    </w:p>
    <w:p>
      <w:pPr>
        <w:spacing w:line="560" w:lineRule="exact"/>
        <w:ind w:firstLine="723" w:firstLineChars="200"/>
        <w:jc w:val="center"/>
        <w:rPr>
          <w:rFonts w:hint="eastAsia" w:ascii="宋体" w:hAnsi="宋体" w:eastAsia="宋体"/>
          <w:b/>
          <w:color w:val="000000"/>
          <w:sz w:val="36"/>
          <w:szCs w:val="36"/>
          <w:lang w:eastAsia="zh-CN"/>
        </w:rPr>
      </w:pP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花岗岩板材、异型石材、石材工艺品加工项目</w:t>
      </w:r>
    </w:p>
    <w:p>
      <w:pPr>
        <w:spacing w:line="560" w:lineRule="exact"/>
        <w:ind w:firstLine="723" w:firstLineChars="20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竣工环境保护验收意见</w:t>
      </w:r>
    </w:p>
    <w:p>
      <w:pPr>
        <w:pStyle w:val="48"/>
        <w:spacing w:before="0" w:beforeAutospacing="0" w:after="0" w:afterAutospacing="0" w:line="560" w:lineRule="exact"/>
        <w:ind w:firstLine="602" w:firstLineChars="200"/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20</w:t>
      </w:r>
      <w:r>
        <w:rPr>
          <w:rFonts w:hint="eastAsia" w:eastAsia="仿宋"/>
          <w:sz w:val="32"/>
          <w:szCs w:val="40"/>
          <w:lang w:val="en-US" w:eastAsia="zh-CN"/>
        </w:rPr>
        <w:t>20</w:t>
      </w:r>
      <w:r>
        <w:rPr>
          <w:rFonts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7</w:t>
      </w:r>
      <w:r>
        <w:rPr>
          <w:rFonts w:eastAsia="仿宋"/>
          <w:sz w:val="32"/>
          <w:szCs w:val="40"/>
        </w:rPr>
        <w:t>月</w:t>
      </w:r>
      <w:r>
        <w:rPr>
          <w:rFonts w:hint="eastAsia" w:eastAsia="仿宋"/>
          <w:sz w:val="32"/>
          <w:szCs w:val="40"/>
          <w:lang w:val="en-US" w:eastAsia="zh-CN"/>
        </w:rPr>
        <w:t>31</w:t>
      </w:r>
      <w:r>
        <w:rPr>
          <w:rFonts w:eastAsia="仿宋"/>
          <w:sz w:val="32"/>
          <w:szCs w:val="40"/>
        </w:rPr>
        <w:t>日，</w:t>
      </w:r>
      <w:r>
        <w:rPr>
          <w:rFonts w:hint="eastAsia" w:eastAsia="仿宋"/>
          <w:sz w:val="32"/>
          <w:szCs w:val="40"/>
          <w:lang w:eastAsia="zh-CN"/>
        </w:rPr>
        <w:t>青岛泓峰石材有限公司</w:t>
      </w:r>
      <w:r>
        <w:rPr>
          <w:rFonts w:eastAsia="仿宋"/>
          <w:sz w:val="32"/>
          <w:szCs w:val="40"/>
        </w:rPr>
        <w:t>根据</w:t>
      </w:r>
      <w:r>
        <w:rPr>
          <w:rFonts w:hint="eastAsia" w:eastAsia="仿宋"/>
          <w:sz w:val="32"/>
          <w:szCs w:val="40"/>
        </w:rPr>
        <w:t>“</w:t>
      </w:r>
      <w:r>
        <w:rPr>
          <w:rFonts w:hint="eastAsia" w:eastAsia="仿宋"/>
          <w:sz w:val="32"/>
          <w:szCs w:val="40"/>
          <w:lang w:eastAsia="zh-CN"/>
        </w:rPr>
        <w:t>花岗岩板材、异型石材、石材工艺品加工项目</w:t>
      </w:r>
      <w:r>
        <w:rPr>
          <w:rFonts w:hint="eastAsia" w:eastAsia="仿宋"/>
          <w:sz w:val="32"/>
          <w:szCs w:val="40"/>
        </w:rPr>
        <w:t>”</w:t>
      </w:r>
      <w:r>
        <w:rPr>
          <w:rFonts w:eastAsia="仿宋"/>
          <w:sz w:val="32"/>
          <w:szCs w:val="40"/>
        </w:rPr>
        <w:t xml:space="preserve">竣工环境保护验收监测报告，并对照《建设项目竣工环境保护验收暂行办法》，严格依照国家有关法律法规、建设项目竣工环境保护验收技术规范/指南、本项目环境影响报告表和审批部门审批决定等要求，对本项目进行验收，提出意见如下： 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一、工程建设基本情况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（一）建设地点、规模、主要建设内容</w:t>
      </w:r>
    </w:p>
    <w:p>
      <w:pPr>
        <w:spacing w:line="560" w:lineRule="exact"/>
        <w:ind w:firstLine="640" w:firstLineChars="200"/>
        <w:rPr>
          <w:rFonts w:hint="eastAsia" w:eastAsia="仿宋"/>
          <w:sz w:val="32"/>
          <w:szCs w:val="40"/>
          <w:lang w:eastAsia="zh-CN"/>
        </w:rPr>
      </w:pPr>
      <w:r>
        <w:rPr>
          <w:rFonts w:hint="eastAsia" w:eastAsia="仿宋"/>
          <w:sz w:val="32"/>
          <w:szCs w:val="40"/>
          <w:lang w:eastAsia="zh-CN"/>
        </w:rPr>
        <w:t>青岛泓峰石材有限公司位于平度市大泽山镇岳石庄子村，项目总投资</w:t>
      </w:r>
      <w:r>
        <w:rPr>
          <w:rFonts w:hint="eastAsia" w:eastAsia="仿宋"/>
          <w:sz w:val="32"/>
          <w:szCs w:val="40"/>
          <w:lang w:val="en-US" w:eastAsia="zh-CN"/>
        </w:rPr>
        <w:t>10</w:t>
      </w:r>
      <w:r>
        <w:rPr>
          <w:rFonts w:hint="eastAsia" w:eastAsia="仿宋"/>
          <w:sz w:val="32"/>
          <w:szCs w:val="40"/>
          <w:lang w:eastAsia="zh-CN"/>
        </w:rPr>
        <w:t>00万元，其中环保投资</w:t>
      </w:r>
      <w:r>
        <w:rPr>
          <w:rFonts w:hint="eastAsia" w:eastAsia="仿宋"/>
          <w:sz w:val="32"/>
          <w:szCs w:val="40"/>
          <w:lang w:val="en-US" w:eastAsia="zh-CN"/>
        </w:rPr>
        <w:t>5</w:t>
      </w:r>
      <w:r>
        <w:rPr>
          <w:rFonts w:hint="eastAsia" w:eastAsia="仿宋"/>
          <w:sz w:val="32"/>
          <w:szCs w:val="40"/>
          <w:lang w:eastAsia="zh-CN"/>
        </w:rPr>
        <w:t>0万元，总占地面积</w:t>
      </w:r>
      <w:r>
        <w:rPr>
          <w:rFonts w:hint="eastAsia" w:eastAsia="仿宋"/>
          <w:sz w:val="32"/>
          <w:szCs w:val="40"/>
          <w:lang w:val="en-US" w:eastAsia="zh-CN"/>
        </w:rPr>
        <w:t>6670</w:t>
      </w:r>
      <w:r>
        <w:rPr>
          <w:rFonts w:hint="eastAsia" w:eastAsia="仿宋"/>
          <w:sz w:val="32"/>
          <w:szCs w:val="40"/>
          <w:lang w:eastAsia="zh-CN"/>
        </w:rPr>
        <w:t>平方米，建筑面积约</w:t>
      </w:r>
      <w:r>
        <w:rPr>
          <w:rFonts w:hint="eastAsia" w:eastAsia="仿宋"/>
          <w:sz w:val="32"/>
          <w:szCs w:val="40"/>
          <w:lang w:val="en-US" w:eastAsia="zh-CN"/>
        </w:rPr>
        <w:t>3000平方米</w:t>
      </w:r>
      <w:r>
        <w:rPr>
          <w:rFonts w:hint="eastAsia" w:eastAsia="仿宋"/>
          <w:sz w:val="32"/>
          <w:szCs w:val="40"/>
          <w:lang w:eastAsia="zh-CN"/>
        </w:rPr>
        <w:t>。项目从事大理石、花岗岩板材、异型石材、石材工艺品加工，年产量约</w:t>
      </w:r>
      <w:r>
        <w:rPr>
          <w:rFonts w:hint="eastAsia" w:eastAsia="仿宋"/>
          <w:sz w:val="32"/>
          <w:szCs w:val="40"/>
          <w:lang w:val="en-US" w:eastAsia="zh-CN"/>
        </w:rPr>
        <w:t>1.0万平方米</w:t>
      </w:r>
      <w:r>
        <w:rPr>
          <w:rFonts w:hint="eastAsia" w:eastAsia="仿宋"/>
          <w:sz w:val="32"/>
          <w:szCs w:val="40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eastAsia="仿宋"/>
          <w:sz w:val="32"/>
          <w:szCs w:val="40"/>
        </w:rPr>
      </w:pPr>
      <w:r>
        <w:rPr>
          <w:rFonts w:hint="eastAsia" w:eastAsia="仿宋"/>
          <w:sz w:val="32"/>
          <w:szCs w:val="40"/>
          <w:lang w:eastAsia="zh-CN"/>
        </w:rPr>
        <w:t>（二）建设过程及环保审</w:t>
      </w:r>
      <w:r>
        <w:rPr>
          <w:rFonts w:hint="eastAsia" w:eastAsia="仿宋"/>
          <w:sz w:val="32"/>
          <w:szCs w:val="40"/>
        </w:rPr>
        <w:t>批情况</w:t>
      </w:r>
    </w:p>
    <w:p>
      <w:pPr>
        <w:spacing w:line="560" w:lineRule="exact"/>
        <w:ind w:firstLine="640" w:firstLineChars="200"/>
        <w:rPr>
          <w:rFonts w:hint="eastAsia"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该项目已</w:t>
      </w:r>
      <w:r>
        <w:rPr>
          <w:rFonts w:hint="eastAsia" w:eastAsia="仿宋"/>
          <w:sz w:val="32"/>
          <w:szCs w:val="40"/>
          <w:lang w:eastAsia="zh-CN"/>
        </w:rPr>
        <w:t>于</w:t>
      </w:r>
      <w:r>
        <w:rPr>
          <w:rFonts w:hint="eastAsia" w:eastAsia="仿宋"/>
          <w:sz w:val="32"/>
          <w:szCs w:val="40"/>
          <w:lang w:val="en-US" w:eastAsia="zh-CN"/>
        </w:rPr>
        <w:t>2010年3月</w:t>
      </w:r>
      <w:r>
        <w:rPr>
          <w:rFonts w:hint="eastAsia" w:eastAsia="仿宋"/>
          <w:sz w:val="32"/>
          <w:szCs w:val="40"/>
        </w:rPr>
        <w:t>投产，</w:t>
      </w:r>
      <w:r>
        <w:rPr>
          <w:rFonts w:hint="eastAsia" w:eastAsia="仿宋"/>
          <w:sz w:val="32"/>
          <w:szCs w:val="40"/>
          <w:lang w:eastAsia="zh-CN"/>
        </w:rPr>
        <w:t>青岛泓峰石材有限公司</w:t>
      </w:r>
      <w:r>
        <w:rPr>
          <w:rFonts w:hint="eastAsia" w:eastAsia="仿宋"/>
          <w:sz w:val="32"/>
          <w:szCs w:val="40"/>
        </w:rPr>
        <w:t>委托</w:t>
      </w:r>
      <w:r>
        <w:rPr>
          <w:rFonts w:hint="eastAsia" w:eastAsia="仿宋"/>
          <w:sz w:val="32"/>
          <w:szCs w:val="40"/>
          <w:lang w:eastAsia="zh-CN"/>
        </w:rPr>
        <w:t>青岛大学</w:t>
      </w:r>
      <w:r>
        <w:rPr>
          <w:rFonts w:hint="eastAsia" w:eastAsia="仿宋"/>
          <w:sz w:val="32"/>
          <w:szCs w:val="40"/>
        </w:rPr>
        <w:t>于201</w:t>
      </w:r>
      <w:r>
        <w:rPr>
          <w:rFonts w:hint="eastAsia" w:eastAsia="仿宋"/>
          <w:sz w:val="32"/>
          <w:szCs w:val="40"/>
          <w:lang w:val="en-US" w:eastAsia="zh-CN"/>
        </w:rPr>
        <w:t>0</w:t>
      </w:r>
      <w:r>
        <w:rPr>
          <w:rFonts w:hint="eastAsia"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5</w:t>
      </w:r>
      <w:r>
        <w:rPr>
          <w:rFonts w:hint="eastAsia" w:eastAsia="仿宋"/>
          <w:sz w:val="32"/>
          <w:szCs w:val="40"/>
        </w:rPr>
        <w:t>月对其</w:t>
      </w:r>
      <w:r>
        <w:rPr>
          <w:rFonts w:hint="eastAsia" w:eastAsia="仿宋"/>
          <w:sz w:val="32"/>
          <w:szCs w:val="40"/>
          <w:lang w:eastAsia="zh-CN"/>
        </w:rPr>
        <w:t>花岗岩板材、异型石材、石材工艺品加工项目补办</w:t>
      </w:r>
      <w:r>
        <w:rPr>
          <w:rFonts w:hint="eastAsia" w:eastAsia="仿宋"/>
          <w:sz w:val="32"/>
          <w:szCs w:val="40"/>
        </w:rPr>
        <w:t>了环境影响评价，并于201</w:t>
      </w:r>
      <w:r>
        <w:rPr>
          <w:rFonts w:hint="eastAsia" w:eastAsia="仿宋"/>
          <w:sz w:val="32"/>
          <w:szCs w:val="40"/>
          <w:lang w:val="en-US" w:eastAsia="zh-CN"/>
        </w:rPr>
        <w:t>0</w:t>
      </w:r>
      <w:r>
        <w:rPr>
          <w:rFonts w:hint="eastAsia" w:eastAsia="仿宋"/>
          <w:sz w:val="32"/>
          <w:szCs w:val="40"/>
        </w:rPr>
        <w:t>年</w:t>
      </w:r>
      <w:r>
        <w:rPr>
          <w:rFonts w:hint="eastAsia" w:eastAsia="仿宋"/>
          <w:sz w:val="32"/>
          <w:szCs w:val="40"/>
          <w:lang w:val="en-US" w:eastAsia="zh-CN"/>
        </w:rPr>
        <w:t>5</w:t>
      </w:r>
      <w:r>
        <w:rPr>
          <w:rFonts w:hint="eastAsia" w:eastAsia="仿宋"/>
          <w:sz w:val="32"/>
          <w:szCs w:val="40"/>
        </w:rPr>
        <w:t>月</w:t>
      </w:r>
      <w:r>
        <w:rPr>
          <w:rFonts w:hint="eastAsia" w:eastAsia="仿宋"/>
          <w:sz w:val="32"/>
          <w:szCs w:val="40"/>
          <w:lang w:val="en-US" w:eastAsia="zh-CN"/>
        </w:rPr>
        <w:t>26日</w:t>
      </w:r>
      <w:r>
        <w:rPr>
          <w:rFonts w:hint="eastAsia" w:eastAsia="仿宋"/>
          <w:sz w:val="32"/>
          <w:szCs w:val="40"/>
        </w:rPr>
        <w:t>取得了《平度市环保局关于</w:t>
      </w:r>
      <w:r>
        <w:rPr>
          <w:rFonts w:hint="eastAsia" w:eastAsia="仿宋"/>
          <w:sz w:val="32"/>
          <w:szCs w:val="40"/>
          <w:lang w:eastAsia="zh-CN"/>
        </w:rPr>
        <w:t>青岛泓峰石材有限公司花岗岩板材、异型石材、石材工艺品加工项目</w:t>
      </w:r>
      <w:r>
        <w:rPr>
          <w:rFonts w:hint="eastAsia" w:eastAsia="仿宋"/>
          <w:sz w:val="32"/>
          <w:szCs w:val="40"/>
        </w:rPr>
        <w:t>环境影响报告表的批复》（平环审[201</w:t>
      </w:r>
      <w:r>
        <w:rPr>
          <w:rFonts w:hint="eastAsia" w:eastAsia="仿宋"/>
          <w:sz w:val="32"/>
          <w:szCs w:val="40"/>
          <w:lang w:val="en-US" w:eastAsia="zh-CN"/>
        </w:rPr>
        <w:t>0</w:t>
      </w:r>
      <w:r>
        <w:rPr>
          <w:rFonts w:hint="eastAsia" w:eastAsia="仿宋"/>
          <w:sz w:val="32"/>
          <w:szCs w:val="40"/>
        </w:rPr>
        <w:t>]</w:t>
      </w:r>
      <w:r>
        <w:rPr>
          <w:rFonts w:hint="eastAsia" w:eastAsia="仿宋"/>
          <w:sz w:val="32"/>
          <w:szCs w:val="40"/>
          <w:lang w:val="en-US" w:eastAsia="zh-CN"/>
        </w:rPr>
        <w:t>212</w:t>
      </w:r>
      <w:r>
        <w:rPr>
          <w:rFonts w:hint="eastAsia" w:eastAsia="仿宋"/>
          <w:sz w:val="32"/>
          <w:szCs w:val="40"/>
        </w:rPr>
        <w:t>号）。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（三）投资情况</w:t>
      </w:r>
    </w:p>
    <w:p>
      <w:pPr>
        <w:spacing w:line="56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项目实际总投资</w:t>
      </w:r>
      <w:r>
        <w:rPr>
          <w:rFonts w:hint="eastAsia" w:eastAsia="仿宋"/>
          <w:sz w:val="32"/>
          <w:szCs w:val="40"/>
          <w:lang w:val="en-US" w:eastAsia="zh-CN"/>
        </w:rPr>
        <w:t>100</w:t>
      </w:r>
      <w:r>
        <w:rPr>
          <w:rFonts w:hint="eastAsia" w:eastAsia="仿宋"/>
          <w:sz w:val="32"/>
          <w:szCs w:val="40"/>
        </w:rPr>
        <w:t>0万元，其中环保投资</w:t>
      </w:r>
      <w:r>
        <w:rPr>
          <w:rFonts w:hint="eastAsia" w:eastAsia="仿宋"/>
          <w:sz w:val="32"/>
          <w:szCs w:val="40"/>
          <w:lang w:val="en-US" w:eastAsia="zh-CN"/>
        </w:rPr>
        <w:t>5</w:t>
      </w:r>
      <w:r>
        <w:rPr>
          <w:rFonts w:hint="eastAsia" w:eastAsia="仿宋"/>
          <w:sz w:val="32"/>
          <w:szCs w:val="40"/>
        </w:rPr>
        <w:t>0万元，占总投资的</w:t>
      </w:r>
      <w:r>
        <w:rPr>
          <w:rFonts w:hint="eastAsia" w:eastAsia="仿宋"/>
          <w:sz w:val="32"/>
          <w:szCs w:val="40"/>
          <w:lang w:val="en-US" w:eastAsia="zh-CN"/>
        </w:rPr>
        <w:t>5.0</w:t>
      </w:r>
      <w:r>
        <w:rPr>
          <w:rFonts w:hint="eastAsia" w:eastAsia="仿宋"/>
          <w:sz w:val="32"/>
          <w:szCs w:val="40"/>
        </w:rPr>
        <w:t>%。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二、工程变动情况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项目实际建设情况与环评及批复要求一致。</w:t>
      </w:r>
    </w:p>
    <w:p>
      <w:pPr>
        <w:tabs>
          <w:tab w:val="left" w:pos="4305"/>
        </w:tabs>
        <w:spacing w:line="560" w:lineRule="exact"/>
        <w:ind w:firstLine="643" w:firstLineChars="200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>三、环境保护设施建设情况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（一）废水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eastAsia="仿宋"/>
          <w:sz w:val="32"/>
          <w:szCs w:val="40"/>
        </w:rPr>
        <w:t>生活污水排入化粪池，定期清运</w:t>
      </w:r>
      <w:r>
        <w:rPr>
          <w:rFonts w:hint="eastAsia" w:eastAsia="仿宋"/>
          <w:sz w:val="32"/>
          <w:szCs w:val="40"/>
        </w:rPr>
        <w:t>做</w:t>
      </w:r>
      <w:r>
        <w:rPr>
          <w:rFonts w:eastAsia="仿宋"/>
          <w:sz w:val="32"/>
          <w:szCs w:val="40"/>
        </w:rPr>
        <w:t>农肥</w:t>
      </w:r>
      <w:r>
        <w:rPr>
          <w:rFonts w:hint="eastAsia" w:eastAsia="仿宋"/>
          <w:sz w:val="32"/>
          <w:szCs w:val="40"/>
        </w:rPr>
        <w:t>。循环水池及化粪池已做防渗处理。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（二）废气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石材锯切、打磨过程在密闭的车间和水环境下进行，产生的粉尘集中收集后经布袋除尘器处理后通过15米高排气筒（P1）排放。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（三）噪声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 xml:space="preserve"> 项目选用低噪声设备，采取了减振</w:t>
      </w: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、隔声等降噪措施。距离项目最近的敏感点为南侧约536</w:t>
      </w:r>
      <w:r>
        <w:rPr>
          <w:rFonts w:hint="default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m</w:t>
      </w:r>
      <w:r>
        <w:rPr>
          <w:rFonts w:hint="eastAsia" w:ascii="Times New Roman" w:hAnsi="Times New Roman" w:eastAsia="仿宋" w:cs="Times New Roman"/>
          <w:kern w:val="2"/>
          <w:sz w:val="32"/>
          <w:szCs w:val="40"/>
          <w:lang w:val="en-US" w:eastAsia="zh-CN" w:bidi="ar-SA"/>
        </w:rPr>
        <w:t>的岳石庄子村。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（四）固体废物</w:t>
      </w:r>
    </w:p>
    <w:p>
      <w:pPr>
        <w:adjustRightInd w:val="0"/>
        <w:snapToGrid w:val="0"/>
        <w:spacing w:line="500" w:lineRule="exact"/>
        <w:ind w:firstLine="640" w:firstLineChars="200"/>
        <w:rPr>
          <w:rFonts w:eastAsia="仿宋"/>
          <w:sz w:val="32"/>
          <w:szCs w:val="40"/>
        </w:rPr>
      </w:pPr>
      <w:r>
        <w:rPr>
          <w:rFonts w:hint="eastAsia" w:eastAsia="仿宋"/>
          <w:sz w:val="32"/>
          <w:szCs w:val="40"/>
        </w:rPr>
        <w:t>生活垃圾由环卫部门清运，下脚料、粉尘、除尘器收集粉尘等一般固废由企业回收综合处置。</w:t>
      </w:r>
    </w:p>
    <w:p>
      <w:pPr>
        <w:adjustRightInd w:val="0"/>
        <w:snapToGrid w:val="0"/>
        <w:spacing w:line="560" w:lineRule="exact"/>
        <w:ind w:firstLine="643" w:firstLineChars="200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>四、环境保护设施调试效果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 xml:space="preserve"> 青岛顺昌检测评价有限公司出具的《监测报告》（20</w:t>
      </w:r>
      <w:r>
        <w:rPr>
          <w:rFonts w:hint="eastAsia" w:ascii="Times New Roman" w:hAnsi="Times New Roman" w:eastAsia="仿宋"/>
          <w:sz w:val="32"/>
          <w:szCs w:val="40"/>
          <w:lang w:val="en-US" w:eastAsia="zh-CN"/>
        </w:rPr>
        <w:t>20</w:t>
      </w:r>
      <w:r>
        <w:rPr>
          <w:rFonts w:hint="eastAsia" w:ascii="Times New Roman" w:hAnsi="Times New Roman" w:eastAsia="仿宋"/>
          <w:sz w:val="32"/>
          <w:szCs w:val="40"/>
        </w:rPr>
        <w:t>-0</w:t>
      </w:r>
      <w:r>
        <w:rPr>
          <w:rFonts w:hint="eastAsia" w:ascii="Times New Roman" w:hAnsi="Times New Roman" w:eastAsia="仿宋"/>
          <w:sz w:val="32"/>
          <w:szCs w:val="40"/>
          <w:lang w:val="en-US" w:eastAsia="zh-CN"/>
        </w:rPr>
        <w:t>731-9</w:t>
      </w:r>
      <w:r>
        <w:rPr>
          <w:rFonts w:hint="eastAsia" w:ascii="Times New Roman" w:hAnsi="Times New Roman" w:eastAsia="仿宋"/>
          <w:sz w:val="32"/>
          <w:szCs w:val="40"/>
        </w:rPr>
        <w:t>）表明，验收监测期间：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（一）废气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P1</w:t>
      </w:r>
      <w:r>
        <w:rPr>
          <w:rFonts w:ascii="Times New Roman" w:hAnsi="Times New Roman" w:eastAsia="仿宋"/>
          <w:sz w:val="32"/>
          <w:szCs w:val="40"/>
        </w:rPr>
        <w:t>排气筒</w:t>
      </w:r>
      <w:r>
        <w:rPr>
          <w:rFonts w:hint="eastAsia" w:ascii="Times New Roman" w:hAnsi="Times New Roman" w:eastAsia="仿宋"/>
          <w:sz w:val="32"/>
          <w:szCs w:val="40"/>
        </w:rPr>
        <w:t>颗粒物</w:t>
      </w:r>
      <w:r>
        <w:rPr>
          <w:rFonts w:ascii="Times New Roman" w:hAnsi="Times New Roman" w:eastAsia="仿宋"/>
          <w:sz w:val="32"/>
          <w:szCs w:val="40"/>
        </w:rPr>
        <w:t>排放浓度</w:t>
      </w:r>
      <w:r>
        <w:rPr>
          <w:rFonts w:hint="eastAsia" w:ascii="Times New Roman" w:hAnsi="Times New Roman" w:eastAsia="仿宋"/>
          <w:sz w:val="32"/>
          <w:szCs w:val="40"/>
        </w:rPr>
        <w:t>满足</w:t>
      </w:r>
      <w:r>
        <w:rPr>
          <w:rFonts w:ascii="Times New Roman" w:hAnsi="Times New Roman" w:eastAsia="仿宋"/>
          <w:sz w:val="32"/>
          <w:szCs w:val="40"/>
        </w:rPr>
        <w:t>《区域性大气污染物综合排放标准》（DB37/</w:t>
      </w:r>
      <w:r>
        <w:rPr>
          <w:rFonts w:hint="eastAsia" w:ascii="Times New Roman" w:hAnsi="Times New Roman" w:eastAsia="仿宋"/>
          <w:sz w:val="32"/>
          <w:szCs w:val="40"/>
        </w:rPr>
        <w:t>2376-2019</w:t>
      </w:r>
      <w:r>
        <w:rPr>
          <w:rFonts w:ascii="Times New Roman" w:hAnsi="Times New Roman" w:eastAsia="仿宋"/>
          <w:sz w:val="32"/>
          <w:szCs w:val="40"/>
        </w:rPr>
        <w:t>）表</w:t>
      </w:r>
      <w:r>
        <w:rPr>
          <w:rFonts w:hint="eastAsia" w:ascii="Times New Roman" w:hAnsi="Times New Roman" w:eastAsia="仿宋"/>
          <w:sz w:val="32"/>
          <w:szCs w:val="40"/>
        </w:rPr>
        <w:t>1</w:t>
      </w:r>
      <w:r>
        <w:rPr>
          <w:rFonts w:ascii="Times New Roman" w:hAnsi="Times New Roman" w:eastAsia="仿宋"/>
          <w:sz w:val="32"/>
          <w:szCs w:val="40"/>
        </w:rPr>
        <w:t>重点控制区标准要求</w:t>
      </w:r>
      <w:r>
        <w:rPr>
          <w:rFonts w:hint="eastAsia" w:ascii="Times New Roman" w:hAnsi="Times New Roman" w:eastAsia="仿宋"/>
          <w:sz w:val="32"/>
          <w:szCs w:val="40"/>
        </w:rPr>
        <w:t>，</w:t>
      </w:r>
      <w:r>
        <w:rPr>
          <w:rFonts w:ascii="Times New Roman" w:hAnsi="Times New Roman" w:eastAsia="仿宋"/>
          <w:sz w:val="32"/>
          <w:szCs w:val="40"/>
        </w:rPr>
        <w:t>排放速率满足《大气污染物综合排放标准》（GB16297－1996）表2中二级标准要求</w:t>
      </w:r>
      <w:r>
        <w:rPr>
          <w:rFonts w:hint="eastAsia" w:ascii="Times New Roman" w:hAnsi="Times New Roman" w:eastAsia="仿宋"/>
          <w:sz w:val="32"/>
          <w:szCs w:val="40"/>
        </w:rPr>
        <w:t>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（二）噪声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ascii="Times New Roman" w:hAnsi="Times New Roman" w:eastAsia="仿宋"/>
          <w:sz w:val="32"/>
          <w:szCs w:val="40"/>
        </w:rPr>
        <w:t>厂界噪声</w:t>
      </w:r>
      <w:r>
        <w:rPr>
          <w:rFonts w:hint="eastAsia" w:ascii="Times New Roman" w:hAnsi="Times New Roman" w:eastAsia="仿宋"/>
          <w:sz w:val="32"/>
          <w:szCs w:val="40"/>
        </w:rPr>
        <w:t>满足</w:t>
      </w:r>
      <w:r>
        <w:rPr>
          <w:rFonts w:ascii="Times New Roman" w:hAnsi="Times New Roman" w:eastAsia="仿宋"/>
          <w:sz w:val="32"/>
          <w:szCs w:val="40"/>
        </w:rPr>
        <w:t>《工业企业厂界环境噪声标准》（GB12348</w:t>
      </w:r>
      <w:r>
        <w:rPr>
          <w:rFonts w:hint="eastAsia" w:ascii="Times New Roman" w:hAnsi="Times New Roman" w:eastAsia="仿宋"/>
          <w:sz w:val="32"/>
          <w:szCs w:val="40"/>
        </w:rPr>
        <w:t>-</w:t>
      </w:r>
      <w:r>
        <w:rPr>
          <w:rFonts w:ascii="Times New Roman" w:hAnsi="Times New Roman" w:eastAsia="仿宋"/>
          <w:sz w:val="32"/>
          <w:szCs w:val="40"/>
        </w:rPr>
        <w:t>2008）表1中2类标准</w:t>
      </w:r>
      <w:r>
        <w:rPr>
          <w:rFonts w:hint="eastAsia" w:ascii="Times New Roman" w:hAnsi="Times New Roman" w:eastAsia="仿宋"/>
          <w:sz w:val="32"/>
          <w:szCs w:val="40"/>
        </w:rPr>
        <w:t>。</w:t>
      </w:r>
    </w:p>
    <w:p>
      <w:pPr>
        <w:pStyle w:val="10"/>
        <w:adjustRightInd w:val="0"/>
        <w:snapToGrid w:val="0"/>
        <w:spacing w:line="560" w:lineRule="exact"/>
        <w:ind w:firstLine="643" w:firstLineChars="200"/>
        <w:rPr>
          <w:rFonts w:ascii="Times New Roman" w:hAnsi="Times New Roman" w:eastAsia="黑体"/>
          <w:b/>
          <w:color w:val="000000"/>
          <w:sz w:val="32"/>
          <w:szCs w:val="32"/>
        </w:rPr>
      </w:pPr>
      <w:r>
        <w:rPr>
          <w:rFonts w:ascii="Times New Roman" w:hAnsi="Times New Roman" w:eastAsia="黑体"/>
          <w:b/>
          <w:color w:val="000000"/>
          <w:sz w:val="32"/>
          <w:szCs w:val="32"/>
        </w:rPr>
        <w:t>五、验收结论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</w:rPr>
        <w:t>项目按环评和批复要求完成“三同时”建设，无重大变动，污染物达标排放，验收监测报告结论可信，验收合格。</w:t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rPr>
          <w:rFonts w:ascii="黑体" w:hAnsi="黑体" w:eastAsia="黑体" w:cs="Times New Roman"/>
          <w:b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b/>
          <w:color w:val="000000"/>
          <w:sz w:val="32"/>
          <w:szCs w:val="32"/>
        </w:rPr>
        <w:t>六、</w:t>
      </w:r>
      <w:r>
        <w:rPr>
          <w:rFonts w:ascii="黑体" w:hAnsi="黑体" w:eastAsia="黑体" w:cs="Times New Roman"/>
          <w:b/>
          <w:color w:val="000000"/>
          <w:sz w:val="32"/>
          <w:szCs w:val="32"/>
        </w:rPr>
        <w:t>后续要求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（一）</w:t>
      </w:r>
      <w:r>
        <w:rPr>
          <w:rFonts w:ascii="Times New Roman" w:hAnsi="Times New Roman" w:eastAsia="仿宋"/>
          <w:sz w:val="32"/>
          <w:szCs w:val="40"/>
        </w:rPr>
        <w:t>加强对污染防治设施运行、维护的管理，确保环境保护设施正常运转，污染物稳定达标排放。</w:t>
      </w:r>
    </w:p>
    <w:p>
      <w:pPr>
        <w:pStyle w:val="10"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"/>
          <w:sz w:val="32"/>
          <w:szCs w:val="40"/>
        </w:rPr>
      </w:pPr>
      <w:r>
        <w:rPr>
          <w:rFonts w:hint="eastAsia" w:ascii="Times New Roman" w:hAnsi="Times New Roman" w:eastAsia="仿宋"/>
          <w:sz w:val="32"/>
          <w:szCs w:val="40"/>
        </w:rPr>
        <w:t>（二）</w:t>
      </w:r>
      <w:r>
        <w:rPr>
          <w:rFonts w:ascii="Times New Roman" w:hAnsi="Times New Roman" w:eastAsia="仿宋"/>
          <w:sz w:val="32"/>
          <w:szCs w:val="40"/>
        </w:rPr>
        <w:t>按《排污单位自行监测技术指南-总则》（HJ819-2017）要求，自主进行污染源监测，并做好记录。</w:t>
      </w:r>
    </w:p>
    <w:p>
      <w:pPr>
        <w:pStyle w:val="48"/>
        <w:spacing w:before="0" w:beforeAutospacing="0" w:after="0" w:afterAutospacing="0" w:line="560" w:lineRule="exact"/>
        <w:ind w:firstLine="640" w:firstLineChars="200"/>
        <w:jc w:val="both"/>
        <w:outlineLvl w:val="0"/>
        <w:rPr>
          <w:rFonts w:ascii="Times New Roman" w:hAnsi="Times New Roman" w:eastAsia="仿宋" w:cs="Times New Roman"/>
          <w:kern w:val="2"/>
          <w:sz w:val="32"/>
          <w:szCs w:val="40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40"/>
        </w:rPr>
        <w:br w:type="page"/>
      </w:r>
    </w:p>
    <w:p>
      <w:pPr>
        <w:pStyle w:val="48"/>
        <w:spacing w:before="0" w:beforeAutospacing="0" w:after="0" w:afterAutospacing="0" w:line="560" w:lineRule="exact"/>
        <w:ind w:firstLine="643" w:firstLineChars="200"/>
        <w:jc w:val="both"/>
        <w:outlineLvl w:val="0"/>
        <w:rPr>
          <w:rFonts w:ascii="Times New Roman" w:hAnsi="Times New Roman" w:eastAsia="黑体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color w:val="000000"/>
          <w:sz w:val="32"/>
          <w:szCs w:val="32"/>
        </w:rPr>
        <w:t>七</w:t>
      </w:r>
      <w:r>
        <w:rPr>
          <w:rFonts w:ascii="Times New Roman" w:hAnsi="Times New Roman" w:eastAsia="黑体" w:cs="Times New Roman"/>
          <w:b/>
          <w:color w:val="000000"/>
          <w:sz w:val="32"/>
          <w:szCs w:val="32"/>
        </w:rPr>
        <w:t>、验收人员信息</w:t>
      </w:r>
    </w:p>
    <w:tbl>
      <w:tblPr>
        <w:tblStyle w:val="19"/>
        <w:tblW w:w="9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788"/>
        <w:gridCol w:w="1134"/>
        <w:gridCol w:w="2694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  <w:jc w:val="center"/>
        </w:trPr>
        <w:tc>
          <w:tcPr>
            <w:tcW w:w="23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验收组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姓 名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工作单位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职务/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职称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组长</w:t>
            </w: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建设单位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eastAsia="仿宋"/>
                <w:sz w:val="32"/>
                <w:szCs w:val="32"/>
                <w:lang w:eastAsia="zh-CN"/>
              </w:rPr>
              <w:t>周明岐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bCs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bCs/>
                <w:sz w:val="32"/>
                <w:szCs w:val="32"/>
                <w:lang w:eastAsia="zh-CN"/>
              </w:rPr>
              <w:t>青岛泓峰石材有限公司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经理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567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组员</w:t>
            </w: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建设单位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32"/>
                <w:szCs w:val="32"/>
                <w:lang w:eastAsia="zh-CN"/>
              </w:rPr>
              <w:t>付云花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eastAsia="仿宋"/>
                <w:bCs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bCs/>
                <w:sz w:val="32"/>
                <w:szCs w:val="32"/>
                <w:lang w:eastAsia="zh-CN"/>
              </w:rPr>
              <w:t>青岛泓峰石材有限公司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厂长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exact"/>
          <w:jc w:val="center"/>
        </w:trPr>
        <w:tc>
          <w:tcPr>
            <w:tcW w:w="567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验收监测单位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付晓东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青岛顺昌检测评价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工程师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567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78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验收监测报告编制单位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 xml:space="preserve">张 </w:t>
            </w:r>
            <w:r>
              <w:rPr>
                <w:rFonts w:eastAsia="仿宋"/>
                <w:sz w:val="32"/>
                <w:szCs w:val="32"/>
              </w:rPr>
              <w:t xml:space="preserve"> </w:t>
            </w:r>
            <w:r>
              <w:rPr>
                <w:rFonts w:hint="eastAsia" w:eastAsia="仿宋"/>
                <w:sz w:val="32"/>
                <w:szCs w:val="32"/>
              </w:rPr>
              <w:t>琦</w:t>
            </w:r>
          </w:p>
        </w:tc>
        <w:tc>
          <w:tcPr>
            <w:tcW w:w="269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青岛顺昌检测评价</w:t>
            </w:r>
          </w:p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有限公司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hint="eastAsia" w:eastAsia="仿宋"/>
                <w:sz w:val="32"/>
                <w:szCs w:val="32"/>
              </w:rPr>
              <w:t>工程师</w:t>
            </w: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napToGrid w:val="0"/>
        <w:spacing w:line="440" w:lineRule="exact"/>
        <w:jc w:val="center"/>
        <w:rPr>
          <w:rFonts w:eastAsia="仿宋"/>
          <w:sz w:val="32"/>
          <w:szCs w:val="32"/>
        </w:rPr>
      </w:pPr>
    </w:p>
    <w:p>
      <w:pPr>
        <w:snapToGrid w:val="0"/>
        <w:spacing w:line="440" w:lineRule="exact"/>
        <w:jc w:val="center"/>
        <w:rPr>
          <w:rFonts w:hint="eastAsia" w:eastAsia="仿宋"/>
          <w:sz w:val="32"/>
          <w:szCs w:val="32"/>
          <w:lang w:eastAsia="zh-CN"/>
        </w:rPr>
      </w:pPr>
      <w:r>
        <w:rPr>
          <w:rFonts w:hint="eastAsia" w:eastAsia="仿宋"/>
          <w:sz w:val="32"/>
          <w:szCs w:val="32"/>
        </w:rPr>
        <w:t xml:space="preserve">                           </w:t>
      </w:r>
      <w:r>
        <w:rPr>
          <w:rFonts w:eastAsia="仿宋"/>
          <w:sz w:val="32"/>
          <w:szCs w:val="32"/>
        </w:rPr>
        <w:t xml:space="preserve">  </w:t>
      </w:r>
      <w:r>
        <w:rPr>
          <w:rFonts w:hint="eastAsia" w:eastAsia="仿宋"/>
          <w:sz w:val="32"/>
          <w:szCs w:val="32"/>
          <w:lang w:eastAsia="zh-CN"/>
        </w:rPr>
        <w:t>青岛泓峰石材有限公司</w:t>
      </w:r>
    </w:p>
    <w:p>
      <w:pPr>
        <w:snapToGrid w:val="0"/>
        <w:spacing w:line="560" w:lineRule="exact"/>
        <w:jc w:val="center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 xml:space="preserve">                                       20</w:t>
      </w:r>
      <w:r>
        <w:rPr>
          <w:rFonts w:hint="eastAsia" w:eastAsia="仿宋"/>
          <w:sz w:val="32"/>
          <w:szCs w:val="32"/>
          <w:lang w:val="en-US" w:eastAsia="zh-CN"/>
        </w:rPr>
        <w:t>20</w:t>
      </w:r>
      <w:r>
        <w:rPr>
          <w:rFonts w:hint="eastAsia"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  <w:lang w:val="en-US" w:eastAsia="zh-CN"/>
        </w:rPr>
        <w:t>7</w:t>
      </w:r>
      <w:r>
        <w:rPr>
          <w:rFonts w:hint="eastAsia" w:eastAsia="仿宋"/>
          <w:sz w:val="32"/>
          <w:szCs w:val="32"/>
        </w:rPr>
        <w:t>月</w:t>
      </w:r>
      <w:r>
        <w:rPr>
          <w:rFonts w:hint="eastAsia" w:eastAsia="仿宋"/>
          <w:sz w:val="32"/>
          <w:szCs w:val="32"/>
          <w:lang w:val="en-US" w:eastAsia="zh-CN"/>
        </w:rPr>
        <w:t>31</w:t>
      </w:r>
      <w:r>
        <w:rPr>
          <w:rFonts w:hint="eastAsia" w:eastAsia="仿宋"/>
          <w:sz w:val="32"/>
          <w:szCs w:val="32"/>
        </w:rPr>
        <w:t>日</w:t>
      </w:r>
    </w:p>
    <w:sectPr>
      <w:footerReference r:id="rId3" w:type="default"/>
      <w:type w:val="continuous"/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Lucida Sans Unicode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Lucida Sans Unicode">
    <w:panose1 w:val="020B0602030504020204"/>
    <w:charset w:val="B1"/>
    <w:family w:val="auto"/>
    <w:pitch w:val="default"/>
    <w:sig w:usb0="80001AFF" w:usb1="0000396B" w:usb2="00000000" w:usb3="00000000" w:csb0="200000BF" w:csb1="D7F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C17C90"/>
    <w:rsid w:val="0001550E"/>
    <w:rsid w:val="0001597D"/>
    <w:rsid w:val="0001637F"/>
    <w:rsid w:val="00025555"/>
    <w:rsid w:val="000311E8"/>
    <w:rsid w:val="00031A80"/>
    <w:rsid w:val="000320A7"/>
    <w:rsid w:val="00034AEC"/>
    <w:rsid w:val="000432FF"/>
    <w:rsid w:val="000436F4"/>
    <w:rsid w:val="00047B5D"/>
    <w:rsid w:val="00060594"/>
    <w:rsid w:val="0006228F"/>
    <w:rsid w:val="00064F44"/>
    <w:rsid w:val="000726B0"/>
    <w:rsid w:val="0009078A"/>
    <w:rsid w:val="00091A26"/>
    <w:rsid w:val="00094AFF"/>
    <w:rsid w:val="000B52ED"/>
    <w:rsid w:val="000C054E"/>
    <w:rsid w:val="000D0BAE"/>
    <w:rsid w:val="000E2E14"/>
    <w:rsid w:val="000F2EA6"/>
    <w:rsid w:val="000F34B3"/>
    <w:rsid w:val="00102DEC"/>
    <w:rsid w:val="0010446F"/>
    <w:rsid w:val="00105CC7"/>
    <w:rsid w:val="00112A93"/>
    <w:rsid w:val="00112D81"/>
    <w:rsid w:val="00116F06"/>
    <w:rsid w:val="0012783F"/>
    <w:rsid w:val="00127D28"/>
    <w:rsid w:val="0013535F"/>
    <w:rsid w:val="00140AE1"/>
    <w:rsid w:val="00145BBE"/>
    <w:rsid w:val="00151BFC"/>
    <w:rsid w:val="00157D09"/>
    <w:rsid w:val="00161492"/>
    <w:rsid w:val="00163C53"/>
    <w:rsid w:val="00165B7F"/>
    <w:rsid w:val="00177C00"/>
    <w:rsid w:val="00180326"/>
    <w:rsid w:val="00181056"/>
    <w:rsid w:val="00181A16"/>
    <w:rsid w:val="001865FF"/>
    <w:rsid w:val="00190C3D"/>
    <w:rsid w:val="001A3A00"/>
    <w:rsid w:val="001B20AE"/>
    <w:rsid w:val="001B3B88"/>
    <w:rsid w:val="001B47C5"/>
    <w:rsid w:val="001B4BF3"/>
    <w:rsid w:val="001B5BBE"/>
    <w:rsid w:val="001B794B"/>
    <w:rsid w:val="001C34AC"/>
    <w:rsid w:val="001D7459"/>
    <w:rsid w:val="001D7634"/>
    <w:rsid w:val="001E0C7A"/>
    <w:rsid w:val="001E0FFB"/>
    <w:rsid w:val="001E3062"/>
    <w:rsid w:val="001E615F"/>
    <w:rsid w:val="001F38A2"/>
    <w:rsid w:val="001F4DF1"/>
    <w:rsid w:val="0020083E"/>
    <w:rsid w:val="00203201"/>
    <w:rsid w:val="00215639"/>
    <w:rsid w:val="00224BD1"/>
    <w:rsid w:val="00230EB3"/>
    <w:rsid w:val="00237F33"/>
    <w:rsid w:val="00244416"/>
    <w:rsid w:val="00247A9A"/>
    <w:rsid w:val="002519AD"/>
    <w:rsid w:val="0025220F"/>
    <w:rsid w:val="00253665"/>
    <w:rsid w:val="00253709"/>
    <w:rsid w:val="00256294"/>
    <w:rsid w:val="00256D38"/>
    <w:rsid w:val="00257959"/>
    <w:rsid w:val="002579A3"/>
    <w:rsid w:val="00263547"/>
    <w:rsid w:val="00265F28"/>
    <w:rsid w:val="00266312"/>
    <w:rsid w:val="00286AE7"/>
    <w:rsid w:val="00287553"/>
    <w:rsid w:val="0029596B"/>
    <w:rsid w:val="00296319"/>
    <w:rsid w:val="002967CC"/>
    <w:rsid w:val="002B0C70"/>
    <w:rsid w:val="002B15F1"/>
    <w:rsid w:val="002B1A05"/>
    <w:rsid w:val="002B1FE1"/>
    <w:rsid w:val="002C22B0"/>
    <w:rsid w:val="002C297D"/>
    <w:rsid w:val="002C41E6"/>
    <w:rsid w:val="002C4C63"/>
    <w:rsid w:val="002C4FFD"/>
    <w:rsid w:val="002D014C"/>
    <w:rsid w:val="002D369F"/>
    <w:rsid w:val="002E45A2"/>
    <w:rsid w:val="002E7160"/>
    <w:rsid w:val="00305037"/>
    <w:rsid w:val="003065CB"/>
    <w:rsid w:val="00306690"/>
    <w:rsid w:val="003068B1"/>
    <w:rsid w:val="003075E0"/>
    <w:rsid w:val="00311315"/>
    <w:rsid w:val="00312603"/>
    <w:rsid w:val="003160EA"/>
    <w:rsid w:val="00320F12"/>
    <w:rsid w:val="00327915"/>
    <w:rsid w:val="00336407"/>
    <w:rsid w:val="0033739D"/>
    <w:rsid w:val="00342D5C"/>
    <w:rsid w:val="0034345A"/>
    <w:rsid w:val="00346045"/>
    <w:rsid w:val="00347594"/>
    <w:rsid w:val="00352DD3"/>
    <w:rsid w:val="00360AFC"/>
    <w:rsid w:val="00365558"/>
    <w:rsid w:val="003764FA"/>
    <w:rsid w:val="0037740A"/>
    <w:rsid w:val="00384186"/>
    <w:rsid w:val="00391CA4"/>
    <w:rsid w:val="00391FF4"/>
    <w:rsid w:val="00395AA6"/>
    <w:rsid w:val="003B1BB9"/>
    <w:rsid w:val="003B39A6"/>
    <w:rsid w:val="003D0992"/>
    <w:rsid w:val="003D2858"/>
    <w:rsid w:val="003D31FA"/>
    <w:rsid w:val="003D3796"/>
    <w:rsid w:val="003D44F0"/>
    <w:rsid w:val="003D69B2"/>
    <w:rsid w:val="003D6F56"/>
    <w:rsid w:val="003D71D8"/>
    <w:rsid w:val="003E0F6F"/>
    <w:rsid w:val="003E40D2"/>
    <w:rsid w:val="00400041"/>
    <w:rsid w:val="0041245F"/>
    <w:rsid w:val="0041761A"/>
    <w:rsid w:val="00421D93"/>
    <w:rsid w:val="00423E81"/>
    <w:rsid w:val="00424554"/>
    <w:rsid w:val="00426A1E"/>
    <w:rsid w:val="004427E4"/>
    <w:rsid w:val="004431C1"/>
    <w:rsid w:val="00443F52"/>
    <w:rsid w:val="0044749C"/>
    <w:rsid w:val="00454A83"/>
    <w:rsid w:val="00456503"/>
    <w:rsid w:val="00457365"/>
    <w:rsid w:val="004607B0"/>
    <w:rsid w:val="00460C41"/>
    <w:rsid w:val="0046570E"/>
    <w:rsid w:val="00466E41"/>
    <w:rsid w:val="00474490"/>
    <w:rsid w:val="0047470D"/>
    <w:rsid w:val="004763AB"/>
    <w:rsid w:val="0047736B"/>
    <w:rsid w:val="00480EB1"/>
    <w:rsid w:val="0048602A"/>
    <w:rsid w:val="00490434"/>
    <w:rsid w:val="00490C57"/>
    <w:rsid w:val="00494FC5"/>
    <w:rsid w:val="004975C4"/>
    <w:rsid w:val="004A1FD2"/>
    <w:rsid w:val="004A6CB3"/>
    <w:rsid w:val="004B009D"/>
    <w:rsid w:val="004D017F"/>
    <w:rsid w:val="004D1318"/>
    <w:rsid w:val="004D40F1"/>
    <w:rsid w:val="004E770C"/>
    <w:rsid w:val="004F4734"/>
    <w:rsid w:val="00500DF7"/>
    <w:rsid w:val="005143DA"/>
    <w:rsid w:val="005160E6"/>
    <w:rsid w:val="005206C6"/>
    <w:rsid w:val="00520906"/>
    <w:rsid w:val="0052280D"/>
    <w:rsid w:val="005245B2"/>
    <w:rsid w:val="005339A3"/>
    <w:rsid w:val="0053680F"/>
    <w:rsid w:val="00541082"/>
    <w:rsid w:val="00550735"/>
    <w:rsid w:val="00552AA9"/>
    <w:rsid w:val="00552AE5"/>
    <w:rsid w:val="00557366"/>
    <w:rsid w:val="00566D30"/>
    <w:rsid w:val="005676D7"/>
    <w:rsid w:val="005745DA"/>
    <w:rsid w:val="00575C0E"/>
    <w:rsid w:val="005809AB"/>
    <w:rsid w:val="00582248"/>
    <w:rsid w:val="005836F9"/>
    <w:rsid w:val="0058464B"/>
    <w:rsid w:val="005879F3"/>
    <w:rsid w:val="00592D7B"/>
    <w:rsid w:val="005A014B"/>
    <w:rsid w:val="005A2762"/>
    <w:rsid w:val="005A646E"/>
    <w:rsid w:val="005B0224"/>
    <w:rsid w:val="005B1D56"/>
    <w:rsid w:val="005B5ABC"/>
    <w:rsid w:val="005C41F2"/>
    <w:rsid w:val="005D28E5"/>
    <w:rsid w:val="005D74EF"/>
    <w:rsid w:val="005D7ABA"/>
    <w:rsid w:val="005E1AED"/>
    <w:rsid w:val="005E26D5"/>
    <w:rsid w:val="005E5543"/>
    <w:rsid w:val="005E76CD"/>
    <w:rsid w:val="005F5BD4"/>
    <w:rsid w:val="005F7E3F"/>
    <w:rsid w:val="00603DE7"/>
    <w:rsid w:val="00606323"/>
    <w:rsid w:val="00615E4F"/>
    <w:rsid w:val="00617CC6"/>
    <w:rsid w:val="00624F13"/>
    <w:rsid w:val="00626ACE"/>
    <w:rsid w:val="00627CE5"/>
    <w:rsid w:val="00636D4C"/>
    <w:rsid w:val="0064102B"/>
    <w:rsid w:val="00641469"/>
    <w:rsid w:val="00650168"/>
    <w:rsid w:val="006574C6"/>
    <w:rsid w:val="006576A1"/>
    <w:rsid w:val="006635A5"/>
    <w:rsid w:val="006663BC"/>
    <w:rsid w:val="00667A19"/>
    <w:rsid w:val="00670535"/>
    <w:rsid w:val="00673289"/>
    <w:rsid w:val="00676C8D"/>
    <w:rsid w:val="0068111E"/>
    <w:rsid w:val="006822A2"/>
    <w:rsid w:val="00686642"/>
    <w:rsid w:val="00690FB6"/>
    <w:rsid w:val="006C11D2"/>
    <w:rsid w:val="006C13B6"/>
    <w:rsid w:val="006C23D6"/>
    <w:rsid w:val="006C309A"/>
    <w:rsid w:val="006C72E0"/>
    <w:rsid w:val="006C7B4E"/>
    <w:rsid w:val="006D1F4C"/>
    <w:rsid w:val="006F19FA"/>
    <w:rsid w:val="006F55F6"/>
    <w:rsid w:val="006F5969"/>
    <w:rsid w:val="00700F0B"/>
    <w:rsid w:val="00706D6E"/>
    <w:rsid w:val="007107B8"/>
    <w:rsid w:val="00715460"/>
    <w:rsid w:val="00721A32"/>
    <w:rsid w:val="00723EEE"/>
    <w:rsid w:val="00733956"/>
    <w:rsid w:val="007367E5"/>
    <w:rsid w:val="00737DAB"/>
    <w:rsid w:val="0074339A"/>
    <w:rsid w:val="00747BD8"/>
    <w:rsid w:val="0075775D"/>
    <w:rsid w:val="00757AEE"/>
    <w:rsid w:val="007618AB"/>
    <w:rsid w:val="00763D0F"/>
    <w:rsid w:val="00776CBF"/>
    <w:rsid w:val="00780D51"/>
    <w:rsid w:val="00783B6E"/>
    <w:rsid w:val="007854DD"/>
    <w:rsid w:val="00785D0E"/>
    <w:rsid w:val="00787D99"/>
    <w:rsid w:val="00791DE3"/>
    <w:rsid w:val="00792B57"/>
    <w:rsid w:val="00793625"/>
    <w:rsid w:val="007A2840"/>
    <w:rsid w:val="007A28C1"/>
    <w:rsid w:val="007A3672"/>
    <w:rsid w:val="007A5141"/>
    <w:rsid w:val="007C063E"/>
    <w:rsid w:val="007C0B91"/>
    <w:rsid w:val="007D1079"/>
    <w:rsid w:val="007D7BC8"/>
    <w:rsid w:val="007E063B"/>
    <w:rsid w:val="007E3893"/>
    <w:rsid w:val="007E4CA2"/>
    <w:rsid w:val="007F5443"/>
    <w:rsid w:val="00800EE8"/>
    <w:rsid w:val="008102E2"/>
    <w:rsid w:val="0081535F"/>
    <w:rsid w:val="008228D4"/>
    <w:rsid w:val="008229A6"/>
    <w:rsid w:val="00823DFB"/>
    <w:rsid w:val="00824389"/>
    <w:rsid w:val="00826E5E"/>
    <w:rsid w:val="0082762E"/>
    <w:rsid w:val="008352A8"/>
    <w:rsid w:val="00837D80"/>
    <w:rsid w:val="00855D99"/>
    <w:rsid w:val="00857724"/>
    <w:rsid w:val="00867276"/>
    <w:rsid w:val="008705A9"/>
    <w:rsid w:val="008746AB"/>
    <w:rsid w:val="00874C8A"/>
    <w:rsid w:val="00876923"/>
    <w:rsid w:val="00877706"/>
    <w:rsid w:val="00887D0F"/>
    <w:rsid w:val="00891462"/>
    <w:rsid w:val="008A26CC"/>
    <w:rsid w:val="008A72F3"/>
    <w:rsid w:val="008B109F"/>
    <w:rsid w:val="008B4E5D"/>
    <w:rsid w:val="008B68C7"/>
    <w:rsid w:val="008C1CC9"/>
    <w:rsid w:val="008C6977"/>
    <w:rsid w:val="008E0B99"/>
    <w:rsid w:val="008E271E"/>
    <w:rsid w:val="008F2BC7"/>
    <w:rsid w:val="00902641"/>
    <w:rsid w:val="00903BFF"/>
    <w:rsid w:val="009103E3"/>
    <w:rsid w:val="0091099A"/>
    <w:rsid w:val="00916DA4"/>
    <w:rsid w:val="0091700B"/>
    <w:rsid w:val="00930699"/>
    <w:rsid w:val="00934B3E"/>
    <w:rsid w:val="00935812"/>
    <w:rsid w:val="00945A4B"/>
    <w:rsid w:val="00953F9B"/>
    <w:rsid w:val="009548B8"/>
    <w:rsid w:val="009551C5"/>
    <w:rsid w:val="009619EA"/>
    <w:rsid w:val="00967D53"/>
    <w:rsid w:val="009837F6"/>
    <w:rsid w:val="009A20F5"/>
    <w:rsid w:val="009A237E"/>
    <w:rsid w:val="009A46E5"/>
    <w:rsid w:val="009B1139"/>
    <w:rsid w:val="009B1E2A"/>
    <w:rsid w:val="009C24DE"/>
    <w:rsid w:val="009D360D"/>
    <w:rsid w:val="009D3910"/>
    <w:rsid w:val="009E0564"/>
    <w:rsid w:val="009E06BF"/>
    <w:rsid w:val="009E3E3D"/>
    <w:rsid w:val="009E746F"/>
    <w:rsid w:val="009F0E6F"/>
    <w:rsid w:val="009F5789"/>
    <w:rsid w:val="009F67FF"/>
    <w:rsid w:val="009F7DCC"/>
    <w:rsid w:val="00A023C3"/>
    <w:rsid w:val="00A10982"/>
    <w:rsid w:val="00A1626E"/>
    <w:rsid w:val="00A21832"/>
    <w:rsid w:val="00A36315"/>
    <w:rsid w:val="00A37EA6"/>
    <w:rsid w:val="00A40456"/>
    <w:rsid w:val="00A424B3"/>
    <w:rsid w:val="00A465DD"/>
    <w:rsid w:val="00A539F3"/>
    <w:rsid w:val="00A5462D"/>
    <w:rsid w:val="00A546E1"/>
    <w:rsid w:val="00A60350"/>
    <w:rsid w:val="00A627E3"/>
    <w:rsid w:val="00A634AD"/>
    <w:rsid w:val="00A64C22"/>
    <w:rsid w:val="00A65CC3"/>
    <w:rsid w:val="00A664CD"/>
    <w:rsid w:val="00A67898"/>
    <w:rsid w:val="00A701CB"/>
    <w:rsid w:val="00A705C3"/>
    <w:rsid w:val="00A72421"/>
    <w:rsid w:val="00A768E7"/>
    <w:rsid w:val="00A80A0D"/>
    <w:rsid w:val="00A955B0"/>
    <w:rsid w:val="00A97293"/>
    <w:rsid w:val="00A9755F"/>
    <w:rsid w:val="00A97984"/>
    <w:rsid w:val="00AA21D2"/>
    <w:rsid w:val="00AA647E"/>
    <w:rsid w:val="00AB05E0"/>
    <w:rsid w:val="00AB1185"/>
    <w:rsid w:val="00AB323B"/>
    <w:rsid w:val="00AC2A95"/>
    <w:rsid w:val="00AC3456"/>
    <w:rsid w:val="00AC40CA"/>
    <w:rsid w:val="00AD179D"/>
    <w:rsid w:val="00AD4B64"/>
    <w:rsid w:val="00AD4CF2"/>
    <w:rsid w:val="00AD617C"/>
    <w:rsid w:val="00AE018C"/>
    <w:rsid w:val="00AF493A"/>
    <w:rsid w:val="00B01F31"/>
    <w:rsid w:val="00B046C6"/>
    <w:rsid w:val="00B13BB4"/>
    <w:rsid w:val="00B1562B"/>
    <w:rsid w:val="00B17893"/>
    <w:rsid w:val="00B219C0"/>
    <w:rsid w:val="00B22872"/>
    <w:rsid w:val="00B31605"/>
    <w:rsid w:val="00B34FC5"/>
    <w:rsid w:val="00B40312"/>
    <w:rsid w:val="00B41104"/>
    <w:rsid w:val="00B423FA"/>
    <w:rsid w:val="00B443C4"/>
    <w:rsid w:val="00B449A4"/>
    <w:rsid w:val="00B5172C"/>
    <w:rsid w:val="00B547F2"/>
    <w:rsid w:val="00B624EB"/>
    <w:rsid w:val="00B70A67"/>
    <w:rsid w:val="00B73AE9"/>
    <w:rsid w:val="00B807D8"/>
    <w:rsid w:val="00B86B5E"/>
    <w:rsid w:val="00B90F01"/>
    <w:rsid w:val="00B92CCA"/>
    <w:rsid w:val="00B93BD1"/>
    <w:rsid w:val="00B95B00"/>
    <w:rsid w:val="00BA3B43"/>
    <w:rsid w:val="00BA5DAA"/>
    <w:rsid w:val="00BA7494"/>
    <w:rsid w:val="00BA77AE"/>
    <w:rsid w:val="00BB739B"/>
    <w:rsid w:val="00BC314D"/>
    <w:rsid w:val="00BC68A2"/>
    <w:rsid w:val="00BD505D"/>
    <w:rsid w:val="00BD50FD"/>
    <w:rsid w:val="00BD58AB"/>
    <w:rsid w:val="00BD774E"/>
    <w:rsid w:val="00BE298D"/>
    <w:rsid w:val="00BF1429"/>
    <w:rsid w:val="00BF3D30"/>
    <w:rsid w:val="00BF51BE"/>
    <w:rsid w:val="00C055A7"/>
    <w:rsid w:val="00C06F48"/>
    <w:rsid w:val="00C106B5"/>
    <w:rsid w:val="00C136E3"/>
    <w:rsid w:val="00C16312"/>
    <w:rsid w:val="00C17C90"/>
    <w:rsid w:val="00C2364E"/>
    <w:rsid w:val="00C23B68"/>
    <w:rsid w:val="00C33EC7"/>
    <w:rsid w:val="00C34AA3"/>
    <w:rsid w:val="00C37062"/>
    <w:rsid w:val="00C43097"/>
    <w:rsid w:val="00C44455"/>
    <w:rsid w:val="00C4640E"/>
    <w:rsid w:val="00C46429"/>
    <w:rsid w:val="00C50C13"/>
    <w:rsid w:val="00C51B74"/>
    <w:rsid w:val="00C54699"/>
    <w:rsid w:val="00C548A2"/>
    <w:rsid w:val="00C80D38"/>
    <w:rsid w:val="00C836FE"/>
    <w:rsid w:val="00C84813"/>
    <w:rsid w:val="00C86E25"/>
    <w:rsid w:val="00C9092E"/>
    <w:rsid w:val="00C957B0"/>
    <w:rsid w:val="00C96B8E"/>
    <w:rsid w:val="00C96E9D"/>
    <w:rsid w:val="00CB75D7"/>
    <w:rsid w:val="00CB7D28"/>
    <w:rsid w:val="00CB7DB4"/>
    <w:rsid w:val="00CC0F9F"/>
    <w:rsid w:val="00CC1208"/>
    <w:rsid w:val="00CD0400"/>
    <w:rsid w:val="00CD6505"/>
    <w:rsid w:val="00CD6D10"/>
    <w:rsid w:val="00CE29BF"/>
    <w:rsid w:val="00CE4773"/>
    <w:rsid w:val="00CF2092"/>
    <w:rsid w:val="00D0110D"/>
    <w:rsid w:val="00D132A0"/>
    <w:rsid w:val="00D255D8"/>
    <w:rsid w:val="00D26BA2"/>
    <w:rsid w:val="00D274D6"/>
    <w:rsid w:val="00D3260A"/>
    <w:rsid w:val="00D32FE5"/>
    <w:rsid w:val="00D36D48"/>
    <w:rsid w:val="00D3743C"/>
    <w:rsid w:val="00D41301"/>
    <w:rsid w:val="00D45583"/>
    <w:rsid w:val="00D45F6A"/>
    <w:rsid w:val="00D4633C"/>
    <w:rsid w:val="00D52B6C"/>
    <w:rsid w:val="00D57BFB"/>
    <w:rsid w:val="00D73294"/>
    <w:rsid w:val="00D83302"/>
    <w:rsid w:val="00D90DA2"/>
    <w:rsid w:val="00D944FE"/>
    <w:rsid w:val="00DA1C6B"/>
    <w:rsid w:val="00DB1D2E"/>
    <w:rsid w:val="00DB3EE9"/>
    <w:rsid w:val="00DC3016"/>
    <w:rsid w:val="00DD274E"/>
    <w:rsid w:val="00DD423F"/>
    <w:rsid w:val="00DD46AD"/>
    <w:rsid w:val="00DD7DEE"/>
    <w:rsid w:val="00DE098D"/>
    <w:rsid w:val="00E022BB"/>
    <w:rsid w:val="00E036EB"/>
    <w:rsid w:val="00E10BA2"/>
    <w:rsid w:val="00E140FA"/>
    <w:rsid w:val="00E14FFF"/>
    <w:rsid w:val="00E15141"/>
    <w:rsid w:val="00E205E3"/>
    <w:rsid w:val="00E23A9D"/>
    <w:rsid w:val="00E3225B"/>
    <w:rsid w:val="00E400DA"/>
    <w:rsid w:val="00E40989"/>
    <w:rsid w:val="00E43DF2"/>
    <w:rsid w:val="00E455E7"/>
    <w:rsid w:val="00E55AB3"/>
    <w:rsid w:val="00E57AF7"/>
    <w:rsid w:val="00E62010"/>
    <w:rsid w:val="00E6461D"/>
    <w:rsid w:val="00E70437"/>
    <w:rsid w:val="00E73AE4"/>
    <w:rsid w:val="00E84345"/>
    <w:rsid w:val="00E8479E"/>
    <w:rsid w:val="00E91952"/>
    <w:rsid w:val="00E96531"/>
    <w:rsid w:val="00EA0001"/>
    <w:rsid w:val="00EA30A1"/>
    <w:rsid w:val="00EA3149"/>
    <w:rsid w:val="00EA7AF2"/>
    <w:rsid w:val="00EB1152"/>
    <w:rsid w:val="00EB2C93"/>
    <w:rsid w:val="00EC5746"/>
    <w:rsid w:val="00ED31CC"/>
    <w:rsid w:val="00ED6006"/>
    <w:rsid w:val="00ED6622"/>
    <w:rsid w:val="00EE0CAE"/>
    <w:rsid w:val="00EF6F75"/>
    <w:rsid w:val="00EF7013"/>
    <w:rsid w:val="00EF72D5"/>
    <w:rsid w:val="00EF74A0"/>
    <w:rsid w:val="00F0183C"/>
    <w:rsid w:val="00F02479"/>
    <w:rsid w:val="00F102D6"/>
    <w:rsid w:val="00F126A4"/>
    <w:rsid w:val="00F2037A"/>
    <w:rsid w:val="00F27167"/>
    <w:rsid w:val="00F27F7C"/>
    <w:rsid w:val="00F30905"/>
    <w:rsid w:val="00F31031"/>
    <w:rsid w:val="00F319BF"/>
    <w:rsid w:val="00F3407B"/>
    <w:rsid w:val="00F37129"/>
    <w:rsid w:val="00F46042"/>
    <w:rsid w:val="00F478F1"/>
    <w:rsid w:val="00F53C98"/>
    <w:rsid w:val="00F5519C"/>
    <w:rsid w:val="00F57649"/>
    <w:rsid w:val="00F603F4"/>
    <w:rsid w:val="00F608E8"/>
    <w:rsid w:val="00F64AB8"/>
    <w:rsid w:val="00F66DE5"/>
    <w:rsid w:val="00F74009"/>
    <w:rsid w:val="00F741FE"/>
    <w:rsid w:val="00F76085"/>
    <w:rsid w:val="00F832CF"/>
    <w:rsid w:val="00F836CA"/>
    <w:rsid w:val="00F84708"/>
    <w:rsid w:val="00F97D6B"/>
    <w:rsid w:val="00FA0208"/>
    <w:rsid w:val="00FA1E58"/>
    <w:rsid w:val="00FA20D7"/>
    <w:rsid w:val="00FA31F4"/>
    <w:rsid w:val="00FA6DE3"/>
    <w:rsid w:val="00FB6072"/>
    <w:rsid w:val="00FB63EB"/>
    <w:rsid w:val="00FB704C"/>
    <w:rsid w:val="00FB74FB"/>
    <w:rsid w:val="00FC373A"/>
    <w:rsid w:val="00FC4285"/>
    <w:rsid w:val="00FC58FB"/>
    <w:rsid w:val="00FC5F72"/>
    <w:rsid w:val="00FC7279"/>
    <w:rsid w:val="00FD2A81"/>
    <w:rsid w:val="00FD2DC5"/>
    <w:rsid w:val="00FD628D"/>
    <w:rsid w:val="00FD70C4"/>
    <w:rsid w:val="00FD7583"/>
    <w:rsid w:val="00FE05B8"/>
    <w:rsid w:val="00FE3321"/>
    <w:rsid w:val="00FE6226"/>
    <w:rsid w:val="00FE6B7E"/>
    <w:rsid w:val="00FF00A2"/>
    <w:rsid w:val="00FF6371"/>
    <w:rsid w:val="00FF72C8"/>
    <w:rsid w:val="0A416B66"/>
    <w:rsid w:val="0A9342FA"/>
    <w:rsid w:val="0B881890"/>
    <w:rsid w:val="150A6C6B"/>
    <w:rsid w:val="17A80565"/>
    <w:rsid w:val="1D9650FE"/>
    <w:rsid w:val="222F3D44"/>
    <w:rsid w:val="24556B6B"/>
    <w:rsid w:val="2AE34CB8"/>
    <w:rsid w:val="306E0E83"/>
    <w:rsid w:val="35D9399B"/>
    <w:rsid w:val="38E350E4"/>
    <w:rsid w:val="421A7B18"/>
    <w:rsid w:val="423417C4"/>
    <w:rsid w:val="44564528"/>
    <w:rsid w:val="4C3A709C"/>
    <w:rsid w:val="4D2A5E5B"/>
    <w:rsid w:val="50E9425C"/>
    <w:rsid w:val="51856401"/>
    <w:rsid w:val="543A3D9D"/>
    <w:rsid w:val="562A6DFA"/>
    <w:rsid w:val="56426AB2"/>
    <w:rsid w:val="59516579"/>
    <w:rsid w:val="5D311E68"/>
    <w:rsid w:val="66823074"/>
    <w:rsid w:val="71894C20"/>
    <w:rsid w:val="73BD4D9F"/>
    <w:rsid w:val="7611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99" w:semiHidden="0" w:name="toc 1"/>
    <w:lsdException w:qFormat="1"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99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9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9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9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9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9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9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52"/>
    <w:qFormat/>
    <w:uiPriority w:val="99"/>
    <w:pPr>
      <w:keepNext/>
      <w:outlineLvl w:val="0"/>
    </w:pPr>
    <w:rPr>
      <w:sz w:val="28"/>
      <w:szCs w:val="20"/>
    </w:rPr>
  </w:style>
  <w:style w:type="paragraph" w:styleId="5">
    <w:name w:val="heading 2"/>
    <w:basedOn w:val="1"/>
    <w:next w:val="1"/>
    <w:link w:val="53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  <w:szCs w:val="32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55"/>
    <w:qFormat/>
    <w:uiPriority w:val="99"/>
    <w:pPr>
      <w:spacing w:after="120" w:line="240" w:lineRule="auto"/>
      <w:ind w:left="420" w:leftChars="200"/>
    </w:pPr>
    <w:rPr>
      <w:sz w:val="21"/>
    </w:rPr>
  </w:style>
  <w:style w:type="paragraph" w:styleId="3">
    <w:name w:val="Body Text Indent"/>
    <w:basedOn w:val="1"/>
    <w:link w:val="54"/>
    <w:qFormat/>
    <w:uiPriority w:val="99"/>
    <w:pPr>
      <w:spacing w:line="400" w:lineRule="atLeast"/>
      <w:ind w:firstLine="420"/>
    </w:pPr>
    <w:rPr>
      <w:kern w:val="0"/>
      <w:sz w:val="20"/>
    </w:rPr>
  </w:style>
  <w:style w:type="paragraph" w:styleId="6">
    <w:name w:val="Normal Indent"/>
    <w:basedOn w:val="1"/>
    <w:qFormat/>
    <w:uiPriority w:val="99"/>
    <w:pPr>
      <w:ind w:firstLine="420" w:firstLineChars="200"/>
    </w:pPr>
    <w:rPr>
      <w:kern w:val="0"/>
      <w:sz w:val="24"/>
      <w:szCs w:val="20"/>
    </w:rPr>
  </w:style>
  <w:style w:type="paragraph" w:styleId="7">
    <w:name w:val="Document Map"/>
    <w:basedOn w:val="1"/>
    <w:link w:val="62"/>
    <w:unhideWhenUsed/>
    <w:qFormat/>
    <w:uiPriority w:val="99"/>
    <w:rPr>
      <w:rFonts w:ascii="宋体"/>
      <w:sz w:val="18"/>
      <w:szCs w:val="18"/>
    </w:rPr>
  </w:style>
  <w:style w:type="paragraph" w:styleId="8">
    <w:name w:val="annotation text"/>
    <w:basedOn w:val="1"/>
    <w:qFormat/>
    <w:uiPriority w:val="99"/>
    <w:pPr>
      <w:jc w:val="left"/>
    </w:pPr>
  </w:style>
  <w:style w:type="paragraph" w:styleId="9">
    <w:name w:val="Body Text"/>
    <w:basedOn w:val="1"/>
    <w:link w:val="56"/>
    <w:qFormat/>
    <w:uiPriority w:val="99"/>
    <w:pPr>
      <w:spacing w:after="120"/>
    </w:pPr>
  </w:style>
  <w:style w:type="paragraph" w:styleId="10">
    <w:name w:val="Plain Text"/>
    <w:basedOn w:val="1"/>
    <w:link w:val="63"/>
    <w:qFormat/>
    <w:uiPriority w:val="0"/>
    <w:rPr>
      <w:rFonts w:ascii="宋体" w:hAnsi="Courier New"/>
      <w:szCs w:val="21"/>
    </w:rPr>
  </w:style>
  <w:style w:type="paragraph" w:styleId="11">
    <w:name w:val="Date"/>
    <w:basedOn w:val="1"/>
    <w:next w:val="1"/>
    <w:link w:val="61"/>
    <w:unhideWhenUsed/>
    <w:qFormat/>
    <w:uiPriority w:val="99"/>
    <w:pPr>
      <w:ind w:left="100" w:leftChars="2500"/>
    </w:pPr>
  </w:style>
  <w:style w:type="paragraph" w:styleId="12">
    <w:name w:val="Body Text Indent 2"/>
    <w:basedOn w:val="1"/>
    <w:link w:val="64"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13">
    <w:name w:val="footer"/>
    <w:basedOn w:val="1"/>
    <w:link w:val="5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??"/>
      <w:sz w:val="18"/>
      <w:szCs w:val="18"/>
    </w:rPr>
  </w:style>
  <w:style w:type="paragraph" w:styleId="14">
    <w:name w:val="header"/>
    <w:basedOn w:val="1"/>
    <w:link w:val="5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??"/>
      <w:sz w:val="18"/>
      <w:szCs w:val="18"/>
    </w:rPr>
  </w:style>
  <w:style w:type="paragraph" w:styleId="15">
    <w:name w:val="toc 1"/>
    <w:basedOn w:val="1"/>
    <w:next w:val="1"/>
    <w:qFormat/>
    <w:uiPriority w:val="99"/>
    <w:pPr>
      <w:spacing w:before="120" w:after="120"/>
      <w:jc w:val="left"/>
    </w:pPr>
    <w:rPr>
      <w:b/>
      <w:caps/>
      <w:sz w:val="20"/>
      <w:szCs w:val="20"/>
    </w:rPr>
  </w:style>
  <w:style w:type="paragraph" w:styleId="16">
    <w:name w:val="toc 2"/>
    <w:basedOn w:val="1"/>
    <w:next w:val="1"/>
    <w:qFormat/>
    <w:uiPriority w:val="99"/>
    <w:pPr>
      <w:ind w:left="420" w:leftChars="200"/>
    </w:pPr>
  </w:style>
  <w:style w:type="paragraph" w:styleId="17">
    <w:name w:val="Title"/>
    <w:basedOn w:val="1"/>
    <w:link w:val="60"/>
    <w:qFormat/>
    <w:uiPriority w:val="99"/>
    <w:pPr>
      <w:jc w:val="center"/>
    </w:pPr>
    <w:rPr>
      <w:rFonts w:ascii="方正小标宋简体" w:eastAsia="方正小标宋简体"/>
      <w:sz w:val="36"/>
      <w:szCs w:val="36"/>
    </w:rPr>
  </w:style>
  <w:style w:type="paragraph" w:styleId="18">
    <w:name w:val="Body Text First Indent"/>
    <w:basedOn w:val="9"/>
    <w:link w:val="57"/>
    <w:qFormat/>
    <w:uiPriority w:val="99"/>
    <w:pPr>
      <w:ind w:firstLine="420" w:firstLineChars="100"/>
    </w:pPr>
  </w:style>
  <w:style w:type="table" w:styleId="20">
    <w:name w:val="Table Grid"/>
    <w:basedOn w:val="1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1">
    <w:name w:val="Medium Grid 3 Accent 1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7BFDE"/>
      </w:tcPr>
    </w:tblStylePr>
  </w:style>
  <w:style w:type="table" w:styleId="22">
    <w:name w:val="Medium Grid 3 Accent 2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DFA7A6"/>
      </w:tcPr>
    </w:tblStylePr>
  </w:style>
  <w:style w:type="table" w:styleId="23">
    <w:name w:val="Medium Grid 3 Accent 3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CDDDAC"/>
      </w:tcPr>
    </w:tblStylePr>
  </w:style>
  <w:style w:type="table" w:styleId="24">
    <w:name w:val="Medium Grid 3 Accent 4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BFB1D0"/>
      </w:tcPr>
    </w:tblStylePr>
  </w:style>
  <w:style w:type="table" w:styleId="25">
    <w:name w:val="Medium Grid 3 Accent 5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A5D5E2"/>
      </w:tcPr>
    </w:tblStylePr>
  </w:style>
  <w:style w:type="table" w:styleId="26">
    <w:name w:val="Medium Grid 3 Accent 6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rPr>
        <w:rFonts w:cs="??"/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fir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rFonts w:cs="??"/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rPr>
        <w:rFonts w:cs="??"/>
      </w:rPr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FBCAA2"/>
      </w:tcPr>
    </w:tblStylePr>
  </w:style>
  <w:style w:type="character" w:styleId="28">
    <w:name w:val="page number"/>
    <w:qFormat/>
    <w:uiPriority w:val="99"/>
    <w:rPr>
      <w:rFonts w:cs="Times New Roman"/>
    </w:rPr>
  </w:style>
  <w:style w:type="character" w:styleId="29">
    <w:name w:val="Hyperlink"/>
    <w:qFormat/>
    <w:uiPriority w:val="99"/>
    <w:rPr>
      <w:rFonts w:cs="Times New Roman"/>
      <w:color w:val="0000FF"/>
      <w:u w:val="single"/>
    </w:rPr>
  </w:style>
  <w:style w:type="paragraph" w:customStyle="1" w:styleId="30">
    <w:name w:val="&quot; Char&quot;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1">
    <w:name w:val="&quot;表格文字&quot;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2">
    <w:name w:val="列出段落1"/>
    <w:basedOn w:val="1"/>
    <w:qFormat/>
    <w:uiPriority w:val="99"/>
    <w:pPr>
      <w:spacing w:line="360" w:lineRule="auto"/>
      <w:ind w:firstLine="420" w:firstLineChars="200"/>
    </w:pPr>
    <w:rPr>
      <w:sz w:val="24"/>
      <w:szCs w:val="22"/>
    </w:rPr>
  </w:style>
  <w:style w:type="paragraph" w:customStyle="1" w:styleId="33">
    <w:name w:val="&quot; Char Char1 Char Char Char Char Char Char Char Char Char Char Char Char Char Char Char Char Char Char Char Char1 Char&quot;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4">
    <w:name w:val="&quot;表格文字&quot;1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5">
    <w:name w:val="&quot; Char&quot;1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6">
    <w:name w:val="&quot; Char Char1 Char Char Char Char Char Char Char Char Char Char Char Char Char Char Char Char Char Char Char Char1 Char&quot;1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37">
    <w:name w:val="&quot;表格文字&quot;2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38">
    <w:name w:val="&quot; Char&quot;2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39">
    <w:name w:val="&quot; Char Char1 Char Char Char Char Char Char Char Char Char Char Char Char Char Char Char Char Char Char Char Char1 Char&quot;2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40">
    <w:name w:val="&quot;表格文字&quot;3"/>
    <w:basedOn w:val="1"/>
    <w:qFormat/>
    <w:uiPriority w:val="99"/>
    <w:pPr>
      <w:adjustRightInd w:val="0"/>
      <w:snapToGrid w:val="0"/>
    </w:pPr>
    <w:rPr>
      <w:color w:val="000000"/>
      <w:kern w:val="0"/>
      <w:szCs w:val="20"/>
    </w:rPr>
  </w:style>
  <w:style w:type="paragraph" w:customStyle="1" w:styleId="41">
    <w:name w:val="&quot; Char&quot;3"/>
    <w:basedOn w:val="1"/>
    <w:qFormat/>
    <w:uiPriority w:val="99"/>
    <w:pPr>
      <w:spacing w:line="360" w:lineRule="auto"/>
      <w:ind w:firstLine="200" w:firstLineChars="200"/>
      <w:jc w:val="left"/>
    </w:pPr>
    <w:rPr>
      <w:rFonts w:ascii="??" w:hAnsi="??"/>
      <w:sz w:val="24"/>
      <w:szCs w:val="20"/>
    </w:rPr>
  </w:style>
  <w:style w:type="paragraph" w:customStyle="1" w:styleId="42">
    <w:name w:val="&quot; Char Char1 Char Char Char Char Char Char Char Char Char Char Char Char Char Char Char Char Char Char Char Char1 Char&quot;3"/>
    <w:basedOn w:val="1"/>
    <w:qFormat/>
    <w:uiPriority w:val="99"/>
    <w:pPr>
      <w:spacing w:line="360" w:lineRule="auto"/>
      <w:ind w:firstLine="200" w:firstLineChars="200"/>
    </w:pPr>
  </w:style>
  <w:style w:type="paragraph" w:customStyle="1" w:styleId="43">
    <w:name w:val="5555图表标号"/>
    <w:basedOn w:val="1"/>
    <w:qFormat/>
    <w:uiPriority w:val="99"/>
    <w:pPr>
      <w:spacing w:line="440" w:lineRule="exact"/>
      <w:jc w:val="center"/>
    </w:pPr>
    <w:rPr>
      <w:b/>
      <w:szCs w:val="21"/>
    </w:rPr>
  </w:style>
  <w:style w:type="paragraph" w:customStyle="1" w:styleId="44">
    <w:name w:val="列出段落11"/>
    <w:basedOn w:val="1"/>
    <w:qFormat/>
    <w:uiPriority w:val="99"/>
    <w:pPr>
      <w:spacing w:line="360" w:lineRule="auto"/>
      <w:ind w:firstLine="420" w:firstLineChars="200"/>
    </w:pPr>
    <w:rPr>
      <w:sz w:val="24"/>
      <w:szCs w:val="22"/>
    </w:rPr>
  </w:style>
  <w:style w:type="paragraph" w:customStyle="1" w:styleId="45">
    <w:name w:val="文字描述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spacing w:val="-2"/>
      <w:sz w:val="24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7">
    <w:name w:val="_Style 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4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szCs w:val="22"/>
      <w:lang w:val="en-US" w:eastAsia="zh-CN" w:bidi="ar-SA"/>
    </w:rPr>
  </w:style>
  <w:style w:type="paragraph" w:customStyle="1" w:styleId="50">
    <w:name w:val="表样式2"/>
    <w:basedOn w:val="1"/>
    <w:qFormat/>
    <w:uiPriority w:val="0"/>
    <w:pPr>
      <w:adjustRightInd w:val="0"/>
      <w:snapToGrid w:val="0"/>
      <w:jc w:val="center"/>
    </w:pPr>
    <w:rPr>
      <w:rFonts w:hAnsi="宋体"/>
      <w:szCs w:val="21"/>
    </w:rPr>
  </w:style>
  <w:style w:type="paragraph" w:customStyle="1" w:styleId="51">
    <w:name w:val="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character" w:customStyle="1" w:styleId="52">
    <w:name w:val="标题 1 Char"/>
    <w:link w:val="4"/>
    <w:qFormat/>
    <w:uiPriority w:val="99"/>
    <w:rPr>
      <w:rFonts w:ascii="Times New Roman" w:hAnsi="Times New Roman" w:cs="Times New Roman"/>
      <w:b/>
      <w:bCs/>
      <w:kern w:val="44"/>
      <w:sz w:val="44"/>
      <w:szCs w:val="44"/>
    </w:rPr>
  </w:style>
  <w:style w:type="character" w:customStyle="1" w:styleId="53">
    <w:name w:val="标题 2 Char"/>
    <w:link w:val="5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54">
    <w:name w:val="正文文本缩进 Char"/>
    <w:link w:val="3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5">
    <w:name w:val="正文首行缩进 2 Char"/>
    <w:link w:val="2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6">
    <w:name w:val="正文文本 Char"/>
    <w:link w:val="9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7">
    <w:name w:val="正文首行缩进 Char"/>
    <w:link w:val="18"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58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5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60">
    <w:name w:val="标题 Char"/>
    <w:link w:val="17"/>
    <w:qFormat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61">
    <w:name w:val="日期 Char"/>
    <w:basedOn w:val="27"/>
    <w:link w:val="11"/>
    <w:semiHidden/>
    <w:qFormat/>
    <w:uiPriority w:val="99"/>
    <w:rPr>
      <w:rFonts w:ascii="Times New Roman" w:hAnsi="Times New Roman" w:cs="Times New Roman"/>
      <w:kern w:val="2"/>
      <w:sz w:val="21"/>
      <w:szCs w:val="24"/>
    </w:rPr>
  </w:style>
  <w:style w:type="character" w:customStyle="1" w:styleId="62">
    <w:name w:val="文档结构图 Char"/>
    <w:basedOn w:val="27"/>
    <w:link w:val="7"/>
    <w:semiHidden/>
    <w:qFormat/>
    <w:uiPriority w:val="99"/>
    <w:rPr>
      <w:rFonts w:ascii="宋体" w:hAnsi="Times New Roman" w:cs="Times New Roman"/>
      <w:kern w:val="2"/>
      <w:sz w:val="18"/>
      <w:szCs w:val="18"/>
    </w:rPr>
  </w:style>
  <w:style w:type="character" w:customStyle="1" w:styleId="63">
    <w:name w:val="纯文本 Char"/>
    <w:link w:val="10"/>
    <w:qFormat/>
    <w:uiPriority w:val="0"/>
    <w:rPr>
      <w:rFonts w:ascii="宋体" w:hAnsi="Courier New" w:cs="Times New Roman"/>
      <w:kern w:val="2"/>
      <w:sz w:val="21"/>
      <w:szCs w:val="21"/>
    </w:rPr>
  </w:style>
  <w:style w:type="character" w:customStyle="1" w:styleId="64">
    <w:name w:val="正文文本缩进 2 Char"/>
    <w:basedOn w:val="27"/>
    <w:link w:val="12"/>
    <w:qFormat/>
    <w:uiPriority w:val="99"/>
    <w:rPr>
      <w:rFonts w:ascii="Times New Roman" w:hAnsi="Times New Roman" w:cs="Times New Roman"/>
      <w:kern w:val="2"/>
      <w:sz w:val="24"/>
      <w:szCs w:val="24"/>
    </w:rPr>
  </w:style>
  <w:style w:type="table" w:customStyle="1" w:styleId="65">
    <w:name w:val="中等深浅网格 31"/>
    <w:basedOn w:val="19"/>
    <w:qFormat/>
    <w:uiPriority w:val="9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rFonts w:cs="??"/>
        <w:b/>
        <w:bCs/>
        <w:i w:val="0"/>
        <w:iCs w:val="0"/>
        <w:color w:val="CCE8CF"/>
      </w:r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rPr>
        <w:rFonts w:cs="??"/>
        <w:b/>
        <w:bCs/>
        <w:i w:val="0"/>
        <w:iCs w:val="0"/>
        <w:color w:val="CCE8CF"/>
      </w:r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rFonts w:cs="??"/>
        <w:b/>
        <w:bCs/>
        <w:i w:val="0"/>
        <w:iCs w:val="0"/>
        <w:color w:val="CCE8CF"/>
      </w:rPr>
      <w:tcPr>
        <w:tcBorders>
          <w:top w:val="nil"/>
          <w:left w:val="single" w:color="CCE8CF" w:sz="8" w:space="0"/>
          <w:bottom w:val="nil"/>
          <w:right w:val="single" w:color="CCE8CF" w:sz="24" w:space="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rFonts w:cs="??"/>
        <w:b/>
        <w:bCs/>
        <w:i w:val="0"/>
        <w:iCs w:val="0"/>
        <w:color w:val="CCE8CF"/>
      </w:r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rPr>
        <w:rFonts w:cs="??"/>
      </w:r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rPr>
        <w:rFonts w:cs="??"/>
      </w:r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  <w:tl2br w:val="nil"/>
          <w:tr2bl w:val="nil"/>
        </w:tcBorders>
        <w:shd w:val="clear" w:color="auto" w:fill="808080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208</Words>
  <Characters>1191</Characters>
  <Lines>9</Lines>
  <Paragraphs>2</Paragraphs>
  <TotalTime>1</TotalTime>
  <ScaleCrop>false</ScaleCrop>
  <LinksUpToDate>false</LinksUpToDate>
  <CharactersWithSpaces>1397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2019-12-26T10:55:00Z</dcterms:created>
  <dc:creator>Sky123.Org</dc:creator>
  <cp:lastModifiedBy>张琦</cp:lastModifiedBy>
  <cp:lastPrinted>2020-07-04T01:39:00Z</cp:lastPrinted>
  <dcterms:modified xsi:type="dcterms:W3CDTF">2020-09-29T02:53:36Z</dcterms:modified>
  <dc:title>青岛XXXX有限公司电泳线扩建项目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